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000033"/>
  <w:body>
    <w:tbl>
      <w:tblPr>
        <w:tblW w:w="4222" w:type="pct"/>
        <w:tblCellSpacing w:w="15" w:type="dxa"/>
        <w:tblBorders>
          <w:top w:val="single" w:sz="36" w:space="0" w:color="FFFFFF"/>
        </w:tblBorders>
        <w:shd w:val="clear" w:color="auto" w:fill="FFFFFF"/>
        <w:tblCellMar>
          <w:left w:w="0" w:type="dxa"/>
          <w:right w:w="0" w:type="dxa"/>
        </w:tblCellMar>
        <w:tblLook w:val="04A0"/>
      </w:tblPr>
      <w:tblGrid>
        <w:gridCol w:w="9196"/>
      </w:tblGrid>
      <w:tr w:rsidR="00A12ACD" w:rsidTr="008C2A92">
        <w:trPr>
          <w:divId w:val="902955431"/>
          <w:trHeight w:val="6375"/>
          <w:tblCellSpacing w:w="15" w:type="dxa"/>
        </w:trPr>
        <w:tc>
          <w:tcPr>
            <w:tcW w:w="0" w:type="auto"/>
            <w:shd w:val="clear" w:color="auto" w:fill="FFFFFF"/>
            <w:tcMar>
              <w:top w:w="15" w:type="dxa"/>
              <w:left w:w="15" w:type="dxa"/>
              <w:bottom w:w="15" w:type="dxa"/>
              <w:right w:w="15" w:type="dxa"/>
            </w:tcMar>
            <w:hideMark/>
          </w:tcPr>
          <w:p w:rsidR="00A12ACD" w:rsidRDefault="00A12ACD" w:rsidP="00A12ACD">
            <w:pPr>
              <w:divId w:val="2099401612"/>
              <w:rPr>
                <w:rFonts w:ascii="Arial" w:eastAsia="Times New Roman" w:hAnsi="Arial" w:cs="Arial"/>
                <w:sz w:val="20"/>
                <w:szCs w:val="20"/>
              </w:rPr>
            </w:pPr>
            <w:r>
              <w:rPr>
                <w:rFonts w:ascii="Arial" w:eastAsia="Times New Roman" w:hAnsi="Arial" w:cs="Arial"/>
                <w:sz w:val="20"/>
                <w:szCs w:val="20"/>
              </w:rPr>
              <w:t> </w:t>
            </w:r>
          </w:p>
          <w:p w:rsidR="008C2A92" w:rsidRDefault="008C2A92" w:rsidP="00A12ACD">
            <w:pPr>
              <w:pStyle w:val="Heading3"/>
              <w:spacing w:before="0" w:after="0"/>
              <w:jc w:val="left"/>
              <w:divId w:val="311909253"/>
              <w:rPr>
                <w:rFonts w:eastAsia="Times New Roman"/>
                <w:caps/>
                <w:sz w:val="27"/>
                <w:szCs w:val="27"/>
              </w:rPr>
            </w:pPr>
          </w:p>
          <w:p w:rsidR="008C2A92" w:rsidRDefault="008C2A92" w:rsidP="008C2A92">
            <w:pPr>
              <w:pStyle w:val="Heading3"/>
              <w:spacing w:before="0" w:after="0"/>
              <w:divId w:val="311909253"/>
              <w:rPr>
                <w:rFonts w:eastAsia="Times New Roman"/>
                <w:caps/>
                <w:sz w:val="27"/>
                <w:szCs w:val="27"/>
              </w:rPr>
            </w:pPr>
            <w:r>
              <w:rPr>
                <w:rFonts w:ascii="Arial" w:hAnsi="Arial" w:cs="Arial"/>
                <w:sz w:val="28"/>
                <w:szCs w:val="28"/>
              </w:rPr>
              <w:t>Appendix NSPS -</w:t>
            </w:r>
            <w:r w:rsidRPr="00C50137">
              <w:rPr>
                <w:rFonts w:ascii="Arial" w:hAnsi="Arial" w:cs="Arial"/>
                <w:sz w:val="28"/>
                <w:szCs w:val="28"/>
              </w:rPr>
              <w:t xml:space="preserve"> Subpart </w:t>
            </w:r>
            <w:r>
              <w:rPr>
                <w:rFonts w:ascii="Arial" w:hAnsi="Arial" w:cs="Arial"/>
                <w:sz w:val="28"/>
                <w:szCs w:val="28"/>
              </w:rPr>
              <w:t>Dc</w:t>
            </w:r>
          </w:p>
          <w:p w:rsidR="008C2A92" w:rsidRDefault="008C2A92" w:rsidP="00A12ACD">
            <w:pPr>
              <w:pStyle w:val="Heading3"/>
              <w:spacing w:before="0" w:after="0"/>
              <w:jc w:val="left"/>
              <w:divId w:val="311909253"/>
              <w:rPr>
                <w:rFonts w:eastAsia="Times New Roman"/>
                <w:caps/>
                <w:sz w:val="27"/>
                <w:szCs w:val="27"/>
              </w:rPr>
            </w:pPr>
          </w:p>
          <w:p w:rsidR="00A12ACD" w:rsidRDefault="00A12ACD" w:rsidP="00A12ACD">
            <w:pPr>
              <w:pStyle w:val="Heading3"/>
              <w:spacing w:before="0" w:after="0"/>
              <w:jc w:val="left"/>
              <w:divId w:val="311909253"/>
              <w:rPr>
                <w:rFonts w:eastAsia="Times New Roman"/>
                <w:caps/>
                <w:sz w:val="27"/>
                <w:szCs w:val="27"/>
              </w:rPr>
            </w:pPr>
            <w:r>
              <w:rPr>
                <w:rFonts w:eastAsia="Times New Roman"/>
                <w:caps/>
                <w:sz w:val="27"/>
                <w:szCs w:val="27"/>
              </w:rPr>
              <w:t>Electronic Code of Federal Regulations</w:t>
            </w:r>
          </w:p>
          <w:p w:rsidR="00A12ACD" w:rsidRDefault="00A12ACD" w:rsidP="00A12ACD">
            <w:pPr>
              <w:pStyle w:val="fp"/>
              <w:divId w:val="311909253"/>
              <w:rPr>
                <w:rFonts w:ascii="Arial" w:hAnsi="Arial" w:cs="Arial"/>
                <w:sz w:val="20"/>
                <w:szCs w:val="20"/>
              </w:rPr>
            </w:pPr>
            <w:r>
              <w:rPr>
                <w:rFonts w:ascii="Arial" w:hAnsi="Arial" w:cs="Arial"/>
                <w:sz w:val="20"/>
                <w:szCs w:val="20"/>
              </w:rPr>
              <w:t xml:space="preserve">Title 40: Protection of Environment </w:t>
            </w:r>
            <w:r>
              <w:rPr>
                <w:rFonts w:ascii="Arial" w:hAnsi="Arial" w:cs="Arial"/>
                <w:sz w:val="20"/>
                <w:szCs w:val="20"/>
              </w:rPr>
              <w:br/>
            </w:r>
            <w:hyperlink r:id="rId4" w:history="1">
              <w:r>
                <w:rPr>
                  <w:rStyle w:val="Hyperlink"/>
                </w:rPr>
                <w:t>PART 60—STANDARDS OF PERFORMANCE FOR NEW STATIONARY SOURCES</w:t>
              </w:r>
            </w:hyperlink>
            <w:r>
              <w:rPr>
                <w:rFonts w:ascii="Arial" w:hAnsi="Arial" w:cs="Arial"/>
                <w:sz w:val="20"/>
                <w:szCs w:val="20"/>
              </w:rPr>
              <w:t xml:space="preserve"> </w:t>
            </w:r>
          </w:p>
          <w:p w:rsidR="00A12ACD" w:rsidRDefault="00A12ACD" w:rsidP="00A12ACD">
            <w:pPr>
              <w:divId w:val="311909253"/>
              <w:rPr>
                <w:rFonts w:ascii="Arial" w:eastAsia="Times New Roman" w:hAnsi="Arial" w:cs="Arial"/>
                <w:sz w:val="20"/>
                <w:szCs w:val="20"/>
              </w:rPr>
            </w:pPr>
            <w:r>
              <w:rPr>
                <w:rFonts w:ascii="Arial" w:eastAsia="Times New Roman" w:hAnsi="Arial" w:cs="Arial"/>
                <w:sz w:val="20"/>
                <w:szCs w:val="20"/>
              </w:rPr>
              <w:pict>
                <v:rect id="_x0000_i1104" style="width:0;height:1.5pt" o:hrstd="t" o:hr="t" fillcolor="#a0a0a0" stroked="f"/>
              </w:pict>
            </w:r>
          </w:p>
          <w:p w:rsidR="00A12ACD" w:rsidRDefault="00A12ACD" w:rsidP="00A12ACD">
            <w:pPr>
              <w:pStyle w:val="Heading2"/>
              <w:jc w:val="left"/>
              <w:divId w:val="311909253"/>
              <w:rPr>
                <w:rFonts w:ascii="Arial" w:eastAsia="Times New Roman" w:hAnsi="Arial" w:cs="Arial"/>
                <w:sz w:val="27"/>
                <w:szCs w:val="27"/>
              </w:rPr>
            </w:pPr>
            <w:bookmarkStart w:id="0" w:name="_top"/>
            <w:bookmarkEnd w:id="0"/>
            <w:r>
              <w:rPr>
                <w:rFonts w:ascii="Arial" w:eastAsia="Times New Roman" w:hAnsi="Arial" w:cs="Arial"/>
                <w:sz w:val="27"/>
                <w:szCs w:val="27"/>
              </w:rPr>
              <w:t>Subpart Dc—Standards of Performance for Small Industrial-Commercial-Institutional Steam Generating Units</w:t>
            </w:r>
          </w:p>
          <w:p w:rsidR="00A12ACD" w:rsidRDefault="00A12ACD" w:rsidP="00A12ACD">
            <w:pPr>
              <w:divId w:val="311909253"/>
              <w:rPr>
                <w:rFonts w:ascii="Arial" w:eastAsia="Times New Roman" w:hAnsi="Arial" w:cs="Arial"/>
                <w:sz w:val="20"/>
                <w:szCs w:val="20"/>
              </w:rPr>
            </w:pPr>
            <w:r>
              <w:rPr>
                <w:rFonts w:ascii="Arial" w:eastAsia="Times New Roman" w:hAnsi="Arial" w:cs="Arial"/>
                <w:sz w:val="20"/>
                <w:szCs w:val="20"/>
              </w:rPr>
              <w:pict>
                <v:rect id="_x0000_i1105" style="width:0;height:1.5pt" o:hrstd="t" o:hr="t" fillcolor="#a0a0a0" stroked="f"/>
              </w:pict>
            </w:r>
          </w:p>
          <w:p w:rsidR="00A12ACD" w:rsidRDefault="00A12ACD" w:rsidP="00A12ACD">
            <w:pPr>
              <w:pStyle w:val="Heading2"/>
              <w:jc w:val="left"/>
              <w:divId w:val="311909253"/>
              <w:rPr>
                <w:rFonts w:ascii="Arial" w:eastAsia="Times New Roman" w:hAnsi="Arial" w:cs="Arial"/>
              </w:rPr>
            </w:pPr>
            <w:bookmarkStart w:id="1" w:name="40:7.0.1.1.1.12.151.1"/>
            <w:bookmarkEnd w:id="1"/>
            <w:proofErr w:type="gramStart"/>
            <w:r>
              <w:rPr>
                <w:rFonts w:ascii="Arial" w:eastAsia="Times New Roman" w:hAnsi="Arial" w:cs="Arial"/>
              </w:rPr>
              <w:t>§ 60.40c   Applicability and delegation of authority.</w:t>
            </w:r>
            <w:proofErr w:type="gramEnd"/>
          </w:p>
          <w:p w:rsidR="00A12ACD" w:rsidRDefault="00A12ACD" w:rsidP="00A12ACD">
            <w:pPr>
              <w:pStyle w:val="NormalWeb"/>
              <w:divId w:val="311909253"/>
              <w:rPr>
                <w:rFonts w:ascii="Arial" w:hAnsi="Arial" w:cs="Arial"/>
                <w:sz w:val="20"/>
                <w:szCs w:val="20"/>
              </w:rPr>
            </w:pPr>
            <w:r>
              <w:rPr>
                <w:rFonts w:ascii="Arial" w:hAnsi="Arial" w:cs="Arial"/>
                <w:sz w:val="20"/>
                <w:szCs w:val="20"/>
              </w:rPr>
              <w:t>(a) Except as provided in paragraphs (d), (e), (f), and (g) of this section, the affected facility to which this subpart applies is each steam generating unit for which construction, modification, or reconstruction is commenced after June 9, 1989 and that has a maximum design heat input capacity of 29 megawatts (MW) (100 million British thermal units per hour (MMBtu/h)) or less, but greater than or equal to 2.9 MW (10 MMBtu/h).</w:t>
            </w:r>
          </w:p>
          <w:p w:rsidR="00A12ACD" w:rsidRDefault="00A12ACD" w:rsidP="00A12ACD">
            <w:pPr>
              <w:pStyle w:val="NormalWeb"/>
              <w:divId w:val="311909253"/>
              <w:rPr>
                <w:rFonts w:ascii="Arial" w:hAnsi="Arial" w:cs="Arial"/>
                <w:sz w:val="20"/>
                <w:szCs w:val="20"/>
              </w:rPr>
            </w:pPr>
            <w:r>
              <w:rPr>
                <w:rFonts w:ascii="Arial" w:hAnsi="Arial" w:cs="Arial"/>
                <w:sz w:val="20"/>
                <w:szCs w:val="20"/>
              </w:rPr>
              <w:t>(b) In delegating implementation and enforcement authority to a State under section 111(c) of the Clean Air Act, § </w:t>
            </w:r>
            <w:proofErr w:type="gramStart"/>
            <w:r>
              <w:rPr>
                <w:rFonts w:ascii="Arial" w:hAnsi="Arial" w:cs="Arial"/>
                <w:sz w:val="20"/>
                <w:szCs w:val="20"/>
              </w:rPr>
              <w:t>60.48c(</w:t>
            </w:r>
            <w:proofErr w:type="gramEnd"/>
            <w:r>
              <w:rPr>
                <w:rFonts w:ascii="Arial" w:hAnsi="Arial" w:cs="Arial"/>
                <w:sz w:val="20"/>
                <w:szCs w:val="20"/>
              </w:rPr>
              <w:t>a)(4) shall be retained by the Administrator and not transferred to a State.</w:t>
            </w:r>
          </w:p>
          <w:p w:rsidR="00A12ACD" w:rsidRDefault="00A12ACD" w:rsidP="00A12ACD">
            <w:pPr>
              <w:pStyle w:val="NormalWeb"/>
              <w:divId w:val="311909253"/>
              <w:rPr>
                <w:rFonts w:ascii="Arial" w:hAnsi="Arial" w:cs="Arial"/>
                <w:sz w:val="20"/>
                <w:szCs w:val="20"/>
              </w:rPr>
            </w:pPr>
            <w:r>
              <w:rPr>
                <w:rFonts w:ascii="Arial" w:hAnsi="Arial" w:cs="Arial"/>
                <w:sz w:val="20"/>
                <w:szCs w:val="20"/>
              </w:rPr>
              <w:t>(c) Steam generating units that meet the applicability requirements in paragraph (a) of this section are not subject to the sulfur dioxide (SO</w:t>
            </w:r>
            <w:r>
              <w:rPr>
                <w:rFonts w:ascii="Arial" w:hAnsi="Arial" w:cs="Arial"/>
                <w:sz w:val="14"/>
                <w:szCs w:val="14"/>
                <w:vertAlign w:val="subscript"/>
              </w:rPr>
              <w:t>2</w:t>
            </w:r>
            <w:r>
              <w:rPr>
                <w:rFonts w:ascii="Arial" w:hAnsi="Arial" w:cs="Arial"/>
                <w:sz w:val="20"/>
                <w:szCs w:val="20"/>
              </w:rPr>
              <w:t xml:space="preserve"> ) or particulate matter (PM) emission limits, performance testing requirements, or monitoring requirements under this subpart (§§ 60.42c, 60.43c, 60.44c, 60.45c, 60.46c, or 60.47c) during periods of combustion research, as defined in § 60.41c.</w:t>
            </w:r>
          </w:p>
          <w:p w:rsidR="00A12ACD" w:rsidRDefault="00A12ACD" w:rsidP="00A12ACD">
            <w:pPr>
              <w:pStyle w:val="NormalWeb"/>
              <w:divId w:val="311909253"/>
              <w:rPr>
                <w:rFonts w:ascii="Arial" w:hAnsi="Arial" w:cs="Arial"/>
                <w:sz w:val="20"/>
                <w:szCs w:val="20"/>
              </w:rPr>
            </w:pPr>
            <w:r>
              <w:rPr>
                <w:rFonts w:ascii="Arial" w:hAnsi="Arial" w:cs="Arial"/>
                <w:sz w:val="20"/>
                <w:szCs w:val="20"/>
              </w:rPr>
              <w:t>(d) Any temporary change to an existing steam generating unit for the purpose of conducting combustion research is not considered a modification under § 60.14.</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(e) Affected facilities </w:t>
            </w:r>
            <w:proofErr w:type="gramStart"/>
            <w:r>
              <w:rPr>
                <w:rFonts w:ascii="Arial" w:hAnsi="Arial" w:cs="Arial"/>
                <w:sz w:val="20"/>
                <w:szCs w:val="20"/>
              </w:rPr>
              <w:t xml:space="preserve">( </w:t>
            </w:r>
            <w:r>
              <w:rPr>
                <w:rFonts w:ascii="Arial" w:hAnsi="Arial" w:cs="Arial"/>
                <w:i/>
                <w:iCs/>
                <w:sz w:val="20"/>
                <w:szCs w:val="20"/>
              </w:rPr>
              <w:t>i.e</w:t>
            </w:r>
            <w:proofErr w:type="gramEnd"/>
            <w:r>
              <w:rPr>
                <w:rFonts w:ascii="Arial" w:hAnsi="Arial" w:cs="Arial"/>
                <w:i/>
                <w:iCs/>
                <w:sz w:val="20"/>
                <w:szCs w:val="20"/>
              </w:rPr>
              <w:t>.</w:t>
            </w:r>
            <w:r>
              <w:rPr>
                <w:rFonts w:ascii="Arial" w:hAnsi="Arial" w:cs="Arial"/>
                <w:sz w:val="20"/>
                <w:szCs w:val="20"/>
              </w:rPr>
              <w:t xml:space="preserve"> heat recovery steam generators and fuel heaters) that are associated with stationary combustion turbines and meet the applicability requirements of subpart KKKK of this part are not subject to this subpart. This subpart will continue to apply to all other heat recovery steam generators, fuel heaters, and other affected facilities that are capable of combusting more than or equal to 2.9 MW (10 MMBtu/h) heat input of fossil fuel but less than or equal to 29 MW (100 MMBtu/h) heat input of fossil fuel. If the heat recovery steam generator, fuel heater, or other affected facility is subject to this subpart, only emissions resulting from combustion of fuels in the steam generating unit are subject to this subpart. (The stationary combustion turbine emissions are subject to subpart GG or KKKK, as applicable,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(f) Any affected facility that meets the applicability requirements of and is subject to subpart AAAA or subpart CCCC of this part is not subject to this subpart.</w:t>
            </w:r>
          </w:p>
          <w:p w:rsidR="00A12ACD" w:rsidRDefault="00A12ACD" w:rsidP="00A12ACD">
            <w:pPr>
              <w:pStyle w:val="NormalWeb"/>
              <w:divId w:val="311909253"/>
              <w:rPr>
                <w:rFonts w:ascii="Arial" w:hAnsi="Arial" w:cs="Arial"/>
                <w:sz w:val="20"/>
                <w:szCs w:val="20"/>
              </w:rPr>
            </w:pPr>
            <w:r>
              <w:rPr>
                <w:rFonts w:ascii="Arial" w:hAnsi="Arial" w:cs="Arial"/>
                <w:sz w:val="20"/>
                <w:szCs w:val="20"/>
              </w:rPr>
              <w:t>(g) Any facility that meets the applicability requirements and is subject to an EPA approved State or Federal section 111(d)/129 plan implementing subpart BBBB of this part is not subject to this subpart.</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(h) Affected facilities that also meet the applicability requirements under subpart J or subpart </w:t>
            </w:r>
            <w:proofErr w:type="spellStart"/>
            <w:r>
              <w:rPr>
                <w:rFonts w:ascii="Arial" w:hAnsi="Arial" w:cs="Arial"/>
                <w:sz w:val="20"/>
                <w:szCs w:val="20"/>
              </w:rPr>
              <w:t>Ja</w:t>
            </w:r>
            <w:proofErr w:type="spellEnd"/>
            <w:r>
              <w:rPr>
                <w:rFonts w:ascii="Arial" w:hAnsi="Arial" w:cs="Arial"/>
                <w:sz w:val="20"/>
                <w:szCs w:val="20"/>
              </w:rPr>
              <w:t xml:space="preserve"> of this part are subject to the PM and NO</w:t>
            </w:r>
            <w:r>
              <w:rPr>
                <w:rFonts w:ascii="Arial" w:hAnsi="Arial" w:cs="Arial"/>
                <w:sz w:val="14"/>
                <w:szCs w:val="14"/>
                <w:vertAlign w:val="subscript"/>
              </w:rPr>
              <w:t>X</w:t>
            </w:r>
            <w:r>
              <w:rPr>
                <w:rFonts w:ascii="Arial" w:hAnsi="Arial" w:cs="Arial"/>
                <w:sz w:val="20"/>
                <w:szCs w:val="20"/>
              </w:rPr>
              <w:t xml:space="preserve"> standards under this subpart and the SO</w:t>
            </w:r>
            <w:r>
              <w:rPr>
                <w:rFonts w:ascii="Arial" w:hAnsi="Arial" w:cs="Arial"/>
                <w:sz w:val="14"/>
                <w:szCs w:val="14"/>
                <w:vertAlign w:val="subscript"/>
              </w:rPr>
              <w:t>2</w:t>
            </w:r>
            <w:r>
              <w:rPr>
                <w:rFonts w:ascii="Arial" w:hAnsi="Arial" w:cs="Arial"/>
                <w:sz w:val="20"/>
                <w:szCs w:val="20"/>
              </w:rPr>
              <w:t xml:space="preserve"> standards under subpart J or subpart </w:t>
            </w:r>
            <w:proofErr w:type="spellStart"/>
            <w:r>
              <w:rPr>
                <w:rFonts w:ascii="Arial" w:hAnsi="Arial" w:cs="Arial"/>
                <w:sz w:val="20"/>
                <w:szCs w:val="20"/>
              </w:rPr>
              <w:t>Ja</w:t>
            </w:r>
            <w:proofErr w:type="spellEnd"/>
            <w:r>
              <w:rPr>
                <w:rFonts w:ascii="Arial" w:hAnsi="Arial" w:cs="Arial"/>
                <w:sz w:val="20"/>
                <w:szCs w:val="20"/>
              </w:rPr>
              <w:t xml:space="preserve"> of this part, as applicable.</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Temporary boilers are not subject to this subpart.</w:t>
            </w:r>
          </w:p>
          <w:p w:rsidR="00A12ACD" w:rsidRDefault="00A12ACD" w:rsidP="00A12ACD">
            <w:pPr>
              <w:pStyle w:val="cita"/>
              <w:divId w:val="311909253"/>
              <w:rPr>
                <w:rFonts w:ascii="Arial" w:hAnsi="Arial" w:cs="Arial"/>
              </w:rPr>
            </w:pPr>
            <w:r>
              <w:rPr>
                <w:rFonts w:ascii="Arial" w:hAnsi="Arial" w:cs="Arial"/>
              </w:rPr>
              <w:t>[72 FR 32759, June 13, 2007, as amended at 74 FR 5090, Jan. 28, 2009; 77 FR 9461, Feb. 16, 2012]</w:t>
            </w:r>
          </w:p>
          <w:p w:rsidR="00A12ACD" w:rsidRDefault="00A12ACD" w:rsidP="00A12ACD">
            <w:pPr>
              <w:pStyle w:val="fp"/>
              <w:divId w:val="1275283713"/>
              <w:rPr>
                <w:rFonts w:ascii="Arial" w:hAnsi="Arial" w:cs="Arial"/>
                <w:sz w:val="20"/>
                <w:szCs w:val="20"/>
              </w:rPr>
            </w:pPr>
            <w:hyperlink w:anchor="_top" w:history="1">
              <w:r>
                <w:rPr>
                  <w:rFonts w:ascii="Arial" w:hAnsi="Arial" w:cs="Arial"/>
                  <w:noProof/>
                  <w:color w:val="0000FF"/>
                  <w:sz w:val="17"/>
                  <w:szCs w:val="17"/>
                </w:rPr>
                <w:drawing>
                  <wp:inline distT="0" distB="0" distL="0" distR="0">
                    <wp:extent cx="152400" cy="152400"/>
                    <wp:effectExtent l="0" t="0" r="0" b="0"/>
                    <wp:docPr id="32" name="Picture 12" descr="return arrow">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6"/>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Style w:val="Hyperlink"/>
                </w:rPr>
                <w:t>Back to Top</w:t>
              </w:r>
            </w:hyperlink>
          </w:p>
          <w:p w:rsidR="00A12ACD" w:rsidRDefault="00A12ACD" w:rsidP="00A12ACD">
            <w:pPr>
              <w:pStyle w:val="Heading2"/>
              <w:jc w:val="left"/>
              <w:divId w:val="311909253"/>
              <w:rPr>
                <w:rFonts w:ascii="Arial" w:eastAsia="Times New Roman" w:hAnsi="Arial" w:cs="Arial"/>
              </w:rPr>
            </w:pPr>
            <w:bookmarkStart w:id="2" w:name="40:7.0.1.1.1.12.151.2"/>
            <w:bookmarkEnd w:id="2"/>
            <w:proofErr w:type="gramStart"/>
            <w:r>
              <w:rPr>
                <w:rFonts w:ascii="Arial" w:eastAsia="Times New Roman" w:hAnsi="Arial" w:cs="Arial"/>
              </w:rPr>
              <w:t>§ 60.41c   Definitions.</w:t>
            </w:r>
            <w:proofErr w:type="gramEnd"/>
          </w:p>
          <w:p w:rsidR="00A12ACD" w:rsidRDefault="00A12ACD" w:rsidP="00A12ACD">
            <w:pPr>
              <w:pStyle w:val="NormalWeb"/>
              <w:divId w:val="311909253"/>
              <w:rPr>
                <w:rFonts w:ascii="Arial" w:hAnsi="Arial" w:cs="Arial"/>
                <w:sz w:val="20"/>
                <w:szCs w:val="20"/>
              </w:rPr>
            </w:pPr>
            <w:r>
              <w:rPr>
                <w:rFonts w:ascii="Arial" w:hAnsi="Arial" w:cs="Arial"/>
                <w:sz w:val="20"/>
                <w:szCs w:val="20"/>
              </w:rPr>
              <w:t>As used in this subpart, all terms not defined herein shall have the meaning given them in the Clean Air Act and in subpart A of this part.</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Annual capacity factor</w:t>
            </w:r>
            <w:r>
              <w:rPr>
                <w:rFonts w:ascii="Arial" w:hAnsi="Arial" w:cs="Arial"/>
                <w:sz w:val="20"/>
                <w:szCs w:val="20"/>
              </w:rPr>
              <w:t xml:space="preserve"> means the ratio between the actual heat input to a steam generating unit from an individual fuel or combination of fuels during a period of 12 consecutive calendar months and the potential heat input to the steam generating unit from all fuels had the steam generating unit been operated for 8,760 hours during that 12-month period at the maximum design heat input capacity. In the case of steam generating units that are rented or leased, the actual heat input shall be determined based on the combined heat input from all operations of the affected facility during a period of 12 consecutive calendar months.</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Coal</w:t>
            </w:r>
            <w:r>
              <w:rPr>
                <w:rFonts w:ascii="Arial" w:hAnsi="Arial" w:cs="Arial"/>
                <w:sz w:val="20"/>
                <w:szCs w:val="20"/>
              </w:rPr>
              <w:t xml:space="preserve"> means all solid fuels classified as anthracite, bituminous, </w:t>
            </w:r>
            <w:proofErr w:type="spellStart"/>
            <w:r>
              <w:rPr>
                <w:rFonts w:ascii="Arial" w:hAnsi="Arial" w:cs="Arial"/>
                <w:sz w:val="20"/>
                <w:szCs w:val="20"/>
              </w:rPr>
              <w:t>subbituminous</w:t>
            </w:r>
            <w:proofErr w:type="spellEnd"/>
            <w:r>
              <w:rPr>
                <w:rFonts w:ascii="Arial" w:hAnsi="Arial" w:cs="Arial"/>
                <w:sz w:val="20"/>
                <w:szCs w:val="20"/>
              </w:rPr>
              <w:t>, or lignite by the American Society of Testing and Materials in ASTM D388 (incorporated by reference, see § 60.17), coal refuse, and petroleum coke. Coal-derived synthetic fuels derived from coal for the purposes of creating useful heat, including but not limited to solvent refined coal, gasified coal not meeting the definition of natural gas, coal-oil mixtures, and coal-water mixtures, are also included in this definition for the purposes of this subpart.</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Coal refuse</w:t>
            </w:r>
            <w:r>
              <w:rPr>
                <w:rFonts w:ascii="Arial" w:hAnsi="Arial" w:cs="Arial"/>
                <w:sz w:val="20"/>
                <w:szCs w:val="20"/>
              </w:rPr>
              <w:t xml:space="preserve"> means any by-product of coal mining or coal cleaning operations with </w:t>
            </w:r>
            <w:proofErr w:type="gramStart"/>
            <w:r>
              <w:rPr>
                <w:rFonts w:ascii="Arial" w:hAnsi="Arial" w:cs="Arial"/>
                <w:sz w:val="20"/>
                <w:szCs w:val="20"/>
              </w:rPr>
              <w:t>an ash</w:t>
            </w:r>
            <w:proofErr w:type="gramEnd"/>
            <w:r>
              <w:rPr>
                <w:rFonts w:ascii="Arial" w:hAnsi="Arial" w:cs="Arial"/>
                <w:sz w:val="20"/>
                <w:szCs w:val="20"/>
              </w:rPr>
              <w:t xml:space="preserve"> content greater than 50 percent (by weight) and a heating value less than 13,900 kilojoules per kilogram (kJ/kg) (6,000 Btu per pound (Btu/lb) on a dry basis.</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Combined cycle system</w:t>
            </w:r>
            <w:r>
              <w:rPr>
                <w:rFonts w:ascii="Arial" w:hAnsi="Arial" w:cs="Arial"/>
                <w:sz w:val="20"/>
                <w:szCs w:val="20"/>
              </w:rPr>
              <w:t xml:space="preserve"> means a system in which a separate source (such as a stationary gas turbine, internal combustion engine, or kiln) provides exhaust gas to a steam generating unit.</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Combustion research</w:t>
            </w:r>
            <w:r>
              <w:rPr>
                <w:rFonts w:ascii="Arial" w:hAnsi="Arial" w:cs="Arial"/>
                <w:sz w:val="20"/>
                <w:szCs w:val="20"/>
              </w:rPr>
              <w:t xml:space="preserve"> means the experimental firing of any fuel or combination of fuels in a steam generating unit for the purpose of conducting research and development of more efficient combustion or more effective prevention or control of air pollutant emissions from combustion, provided that, during these periods of research and development, the heat generated is not used for any purpose other than preheating combustion air for use by that steam generating unit ( </w:t>
            </w:r>
            <w:r>
              <w:rPr>
                <w:rFonts w:ascii="Arial" w:hAnsi="Arial" w:cs="Arial"/>
                <w:i/>
                <w:iCs/>
                <w:sz w:val="20"/>
                <w:szCs w:val="20"/>
              </w:rPr>
              <w:t>i.e.</w:t>
            </w:r>
            <w:r>
              <w:rPr>
                <w:rFonts w:ascii="Arial" w:hAnsi="Arial" w:cs="Arial"/>
                <w:sz w:val="20"/>
                <w:szCs w:val="20"/>
              </w:rPr>
              <w:t xml:space="preserve"> , the heat generated is released to the atmosphere without being used for space heating, process heating, driving pumps, preheating combustion air for other units, generating electricity, or any other purpose).</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Conventional technology</w:t>
            </w:r>
            <w:r>
              <w:rPr>
                <w:rFonts w:ascii="Arial" w:hAnsi="Arial" w:cs="Arial"/>
                <w:sz w:val="20"/>
                <w:szCs w:val="20"/>
              </w:rPr>
              <w:t xml:space="preserve"> means wet flue gas desulfurization technology, dry flue gas desulfurization technology, atmospheric fluidized bed combustion technology, and oil </w:t>
            </w:r>
            <w:proofErr w:type="spellStart"/>
            <w:r>
              <w:rPr>
                <w:rFonts w:ascii="Arial" w:hAnsi="Arial" w:cs="Arial"/>
                <w:sz w:val="20"/>
                <w:szCs w:val="20"/>
              </w:rPr>
              <w:t>hydrodesulfurization</w:t>
            </w:r>
            <w:proofErr w:type="spellEnd"/>
            <w:r>
              <w:rPr>
                <w:rFonts w:ascii="Arial" w:hAnsi="Arial" w:cs="Arial"/>
                <w:sz w:val="20"/>
                <w:szCs w:val="20"/>
              </w:rPr>
              <w:t xml:space="preserve"> technology.</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Distillate oil</w:t>
            </w:r>
            <w:r>
              <w:rPr>
                <w:rFonts w:ascii="Arial" w:hAnsi="Arial" w:cs="Arial"/>
                <w:sz w:val="20"/>
                <w:szCs w:val="20"/>
              </w:rPr>
              <w:t xml:space="preserve"> means fuel oil that complies with the specifications for fuel oil numbers 1 or 2, as defined by the American Society for Testing and Materials in ASTM D396 (incorporated by reference, see § 60.17), diesel fuel oil numbers 1 or 2, as defined by the American Society for Testing and Materials in ASTM D975 (incorporated by reference, see § 60.17), </w:t>
            </w:r>
            <w:proofErr w:type="spellStart"/>
            <w:r>
              <w:rPr>
                <w:rFonts w:ascii="Arial" w:hAnsi="Arial" w:cs="Arial"/>
                <w:sz w:val="20"/>
                <w:szCs w:val="20"/>
              </w:rPr>
              <w:t>kerosine</w:t>
            </w:r>
            <w:proofErr w:type="spellEnd"/>
            <w:r>
              <w:rPr>
                <w:rFonts w:ascii="Arial" w:hAnsi="Arial" w:cs="Arial"/>
                <w:sz w:val="20"/>
                <w:szCs w:val="20"/>
              </w:rPr>
              <w:t>, as defined by the American Society of Testing and Materials in ASTM D3699 (incorporated by reference, see § 60.17), biodiesel as defined by the American Society of Testing and Materials in ASTM D6751 (incorporated by reference, see § 60.17), or biodiesel blends as defined by the American Society of Testing and Materials in ASTM D7467 (incorporated by reference, see § 60.17).</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Dry flue gas desulfurization technology</w:t>
            </w:r>
            <w:r>
              <w:rPr>
                <w:rFonts w:ascii="Arial" w:hAnsi="Arial" w:cs="Arial"/>
                <w:sz w:val="20"/>
                <w:szCs w:val="20"/>
              </w:rPr>
              <w:t xml:space="preserve"> means a SO</w:t>
            </w:r>
            <w:r>
              <w:rPr>
                <w:rFonts w:ascii="Arial" w:hAnsi="Arial" w:cs="Arial"/>
                <w:sz w:val="14"/>
                <w:szCs w:val="14"/>
                <w:vertAlign w:val="subscript"/>
              </w:rPr>
              <w:t>2</w:t>
            </w:r>
            <w:r>
              <w:rPr>
                <w:rFonts w:ascii="Arial" w:hAnsi="Arial" w:cs="Arial"/>
                <w:sz w:val="20"/>
                <w:szCs w:val="20"/>
              </w:rPr>
              <w:t xml:space="preserve"> control system that is located between the steam generating unit and the exhaust vent or stack, and that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reagents used in dry flue gas desulfurization systems include, but are not limited to, lime and sodium compounds.</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Duct burner</w:t>
            </w:r>
            <w:r>
              <w:rPr>
                <w:rFonts w:ascii="Arial" w:hAnsi="Arial" w:cs="Arial"/>
                <w:sz w:val="20"/>
                <w:szCs w:val="20"/>
              </w:rPr>
              <w:t xml:space="preserve"> 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Emerging technology</w:t>
            </w:r>
            <w:r>
              <w:rPr>
                <w:rFonts w:ascii="Arial" w:hAnsi="Arial" w:cs="Arial"/>
                <w:sz w:val="20"/>
                <w:szCs w:val="20"/>
              </w:rPr>
              <w:t xml:space="preserve"> means any SO</w:t>
            </w:r>
            <w:r>
              <w:rPr>
                <w:rFonts w:ascii="Arial" w:hAnsi="Arial" w:cs="Arial"/>
                <w:sz w:val="14"/>
                <w:szCs w:val="14"/>
                <w:vertAlign w:val="subscript"/>
              </w:rPr>
              <w:t>2</w:t>
            </w:r>
            <w:r>
              <w:rPr>
                <w:rFonts w:ascii="Arial" w:hAnsi="Arial" w:cs="Arial"/>
                <w:sz w:val="20"/>
                <w:szCs w:val="20"/>
              </w:rPr>
              <w:t xml:space="preserve"> control system that is not defined as a conventional technology under this section, and for which the owner or operator of the affected facility has received approval from the Administrator to operate as an emerging technology under § </w:t>
            </w:r>
            <w:proofErr w:type="gramStart"/>
            <w:r>
              <w:rPr>
                <w:rFonts w:ascii="Arial" w:hAnsi="Arial" w:cs="Arial"/>
                <w:sz w:val="20"/>
                <w:szCs w:val="20"/>
              </w:rPr>
              <w:t>60.48c(</w:t>
            </w:r>
            <w:proofErr w:type="gramEnd"/>
            <w:r>
              <w:rPr>
                <w:rFonts w:ascii="Arial" w:hAnsi="Arial" w:cs="Arial"/>
                <w:sz w:val="20"/>
                <w:szCs w:val="20"/>
              </w:rPr>
              <w:t>a)(4).</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Federally enforceable</w:t>
            </w:r>
            <w:r>
              <w:rPr>
                <w:rFonts w:ascii="Arial" w:hAnsi="Arial" w:cs="Arial"/>
                <w:sz w:val="20"/>
                <w:szCs w:val="20"/>
              </w:rPr>
              <w:t xml:space="preserve"> 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Fluidized bed combustion technology</w:t>
            </w:r>
            <w:r>
              <w:rPr>
                <w:rFonts w:ascii="Arial" w:hAnsi="Arial" w:cs="Arial"/>
                <w:sz w:val="20"/>
                <w:szCs w:val="20"/>
              </w:rPr>
              <w:t xml:space="preserve"> means a device wherein fuel is distributed onto a bed (or series of beds) of limestone aggregate (or other sorbent materials) for combustion; and these materials are forced upward in the device by the flow of combustion air and the gaseous products of combustion. Fluidized bed combustion technology includes, but is not limited to, bubbling bed units and circulating bed units.</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Fuel pretreatment</w:t>
            </w:r>
            <w:r>
              <w:rPr>
                <w:rFonts w:ascii="Arial" w:hAnsi="Arial" w:cs="Arial"/>
                <w:sz w:val="20"/>
                <w:szCs w:val="20"/>
              </w:rPr>
              <w:t xml:space="preserve"> means a process that removes a portion of the sulfur in a fuel before combustion of the fuel in a steam generating unit.</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Heat input</w:t>
            </w:r>
            <w:r>
              <w:rPr>
                <w:rFonts w:ascii="Arial" w:hAnsi="Arial" w:cs="Arial"/>
                <w:sz w:val="20"/>
                <w:szCs w:val="20"/>
              </w:rPr>
              <w:t xml:space="preserve"> means heat derived from combustion of fuel in a steam generating unit and does not include the heat derived from preheated combustion air, </w:t>
            </w:r>
            <w:proofErr w:type="spellStart"/>
            <w:r>
              <w:rPr>
                <w:rFonts w:ascii="Arial" w:hAnsi="Arial" w:cs="Arial"/>
                <w:sz w:val="20"/>
                <w:szCs w:val="20"/>
              </w:rPr>
              <w:t>recirculated</w:t>
            </w:r>
            <w:proofErr w:type="spellEnd"/>
            <w:r>
              <w:rPr>
                <w:rFonts w:ascii="Arial" w:hAnsi="Arial" w:cs="Arial"/>
                <w:sz w:val="20"/>
                <w:szCs w:val="20"/>
              </w:rPr>
              <w:t xml:space="preserve"> flue gases, or exhaust gases from other sources (such as stationary gas turbines, internal combustion engines, and kilns).</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Heat transfer medium</w:t>
            </w:r>
            <w:r>
              <w:rPr>
                <w:rFonts w:ascii="Arial" w:hAnsi="Arial" w:cs="Arial"/>
                <w:sz w:val="20"/>
                <w:szCs w:val="20"/>
              </w:rPr>
              <w:t xml:space="preserve"> means any material that is used to transfer heat from one point to another point.</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Maximum design heat input capacity</w:t>
            </w:r>
            <w:r>
              <w:rPr>
                <w:rFonts w:ascii="Arial" w:hAnsi="Arial" w:cs="Arial"/>
                <w:sz w:val="20"/>
                <w:szCs w:val="20"/>
              </w:rPr>
              <w:t xml:space="preserve"> means the ability of a steam generating unit to combust a stated maximum amount of fuel (or combination of fuels) on a steady state basis as determined by the physical design and characteristics of the steam generating unit.</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Natural gas</w:t>
            </w:r>
            <w:r>
              <w:rPr>
                <w:rFonts w:ascii="Arial" w:hAnsi="Arial" w:cs="Arial"/>
                <w:sz w:val="20"/>
                <w:szCs w:val="20"/>
              </w:rPr>
              <w:t xml:space="preserve"> means:</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(1) A naturally occurring mixture of hydrocarbon and </w:t>
            </w:r>
            <w:proofErr w:type="spellStart"/>
            <w:r>
              <w:rPr>
                <w:rFonts w:ascii="Arial" w:hAnsi="Arial" w:cs="Arial"/>
                <w:sz w:val="20"/>
                <w:szCs w:val="20"/>
              </w:rPr>
              <w:t>nonhydrocarbon</w:t>
            </w:r>
            <w:proofErr w:type="spellEnd"/>
            <w:r>
              <w:rPr>
                <w:rFonts w:ascii="Arial" w:hAnsi="Arial" w:cs="Arial"/>
                <w:sz w:val="20"/>
                <w:szCs w:val="20"/>
              </w:rPr>
              <w:t xml:space="preserve"> gases found in geologic formations beneath the earth's surface, of which the principal constituent is methane; or</w:t>
            </w:r>
          </w:p>
          <w:p w:rsidR="00A12ACD" w:rsidRDefault="00A12ACD" w:rsidP="00A12ACD">
            <w:pPr>
              <w:pStyle w:val="NormalWeb"/>
              <w:divId w:val="311909253"/>
              <w:rPr>
                <w:rFonts w:ascii="Arial" w:hAnsi="Arial" w:cs="Arial"/>
                <w:sz w:val="20"/>
                <w:szCs w:val="20"/>
              </w:rPr>
            </w:pPr>
            <w:r>
              <w:rPr>
                <w:rFonts w:ascii="Arial" w:hAnsi="Arial" w:cs="Arial"/>
                <w:sz w:val="20"/>
                <w:szCs w:val="20"/>
              </w:rPr>
              <w:t>(2) Liquefied petroleum (LP) gas, as defined by the American Society for Testing and Materials in ASTM D1835 (incorporated by reference, see § 60.17); or</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(3) A mixture of hydrocarbons that maintains a gaseous state at ISO conditions. Additionally, natural gas must either be composed of at least 70 percent methane by volume or have a gross calorific value between 34 and 43 </w:t>
            </w:r>
            <w:proofErr w:type="spellStart"/>
            <w:r>
              <w:rPr>
                <w:rFonts w:ascii="Arial" w:hAnsi="Arial" w:cs="Arial"/>
                <w:sz w:val="20"/>
                <w:szCs w:val="20"/>
              </w:rPr>
              <w:t>megajoules</w:t>
            </w:r>
            <w:proofErr w:type="spellEnd"/>
            <w:r>
              <w:rPr>
                <w:rFonts w:ascii="Arial" w:hAnsi="Arial" w:cs="Arial"/>
                <w:sz w:val="20"/>
                <w:szCs w:val="20"/>
              </w:rPr>
              <w:t xml:space="preserve"> (MJ) per dry standard cubic meter (910 and 1,150 Btu per dry standard cubic foot).</w:t>
            </w:r>
          </w:p>
          <w:p w:rsidR="00A12ACD" w:rsidRDefault="00A12ACD" w:rsidP="00A12ACD">
            <w:pPr>
              <w:pStyle w:val="NormalWeb"/>
              <w:divId w:val="311909253"/>
              <w:rPr>
                <w:rFonts w:ascii="Arial" w:hAnsi="Arial" w:cs="Arial"/>
                <w:sz w:val="20"/>
                <w:szCs w:val="20"/>
              </w:rPr>
            </w:pPr>
            <w:proofErr w:type="spellStart"/>
            <w:r>
              <w:rPr>
                <w:rFonts w:ascii="Arial" w:hAnsi="Arial" w:cs="Arial"/>
                <w:i/>
                <w:iCs/>
                <w:sz w:val="20"/>
                <w:szCs w:val="20"/>
              </w:rPr>
              <w:t>Noncontinental</w:t>
            </w:r>
            <w:proofErr w:type="spellEnd"/>
            <w:r>
              <w:rPr>
                <w:rFonts w:ascii="Arial" w:hAnsi="Arial" w:cs="Arial"/>
                <w:i/>
                <w:iCs/>
                <w:sz w:val="20"/>
                <w:szCs w:val="20"/>
              </w:rPr>
              <w:t xml:space="preserve"> area</w:t>
            </w:r>
            <w:r>
              <w:rPr>
                <w:rFonts w:ascii="Arial" w:hAnsi="Arial" w:cs="Arial"/>
                <w:sz w:val="20"/>
                <w:szCs w:val="20"/>
              </w:rPr>
              <w:t xml:space="preserve"> means the State of Hawaii, the Virgin Islands, Guam, American Samoa, the Commonwealth of Puerto Rico, or the Northern Mariana Islands.</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Oil</w:t>
            </w:r>
            <w:r>
              <w:rPr>
                <w:rFonts w:ascii="Arial" w:hAnsi="Arial" w:cs="Arial"/>
                <w:sz w:val="20"/>
                <w:szCs w:val="20"/>
              </w:rPr>
              <w:t xml:space="preserve"> means crude oil or petroleum, or a liquid fuel derived from crude oil or petroleum, including distillate oil and residual oil.</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Potential sulfur dioxide emission rate</w:t>
            </w:r>
            <w:r>
              <w:rPr>
                <w:rFonts w:ascii="Arial" w:hAnsi="Arial" w:cs="Arial"/>
                <w:sz w:val="20"/>
                <w:szCs w:val="20"/>
              </w:rPr>
              <w:t xml:space="preserve"> means the theoretical SO</w:t>
            </w:r>
            <w:r>
              <w:rPr>
                <w:rFonts w:ascii="Arial" w:hAnsi="Arial" w:cs="Arial"/>
                <w:sz w:val="14"/>
                <w:szCs w:val="14"/>
                <w:vertAlign w:val="subscript"/>
              </w:rPr>
              <w:t>2</w:t>
            </w:r>
            <w:r>
              <w:rPr>
                <w:rFonts w:ascii="Arial" w:hAnsi="Arial" w:cs="Arial"/>
                <w:sz w:val="20"/>
                <w:szCs w:val="20"/>
              </w:rPr>
              <w:t xml:space="preserve"> emissions (</w:t>
            </w:r>
            <w:proofErr w:type="spellStart"/>
            <w:r>
              <w:rPr>
                <w:rFonts w:ascii="Arial" w:hAnsi="Arial" w:cs="Arial"/>
                <w:sz w:val="20"/>
                <w:szCs w:val="20"/>
              </w:rPr>
              <w:t>nanograms</w:t>
            </w:r>
            <w:proofErr w:type="spellEnd"/>
            <w:r>
              <w:rPr>
                <w:rFonts w:ascii="Arial" w:hAnsi="Arial" w:cs="Arial"/>
                <w:sz w:val="20"/>
                <w:szCs w:val="20"/>
              </w:rPr>
              <w:t xml:space="preserve"> per joule (</w:t>
            </w:r>
            <w:proofErr w:type="spellStart"/>
            <w:r>
              <w:rPr>
                <w:rFonts w:ascii="Arial" w:hAnsi="Arial" w:cs="Arial"/>
                <w:sz w:val="20"/>
                <w:szCs w:val="20"/>
              </w:rPr>
              <w:t>ng</w:t>
            </w:r>
            <w:proofErr w:type="spellEnd"/>
            <w:r>
              <w:rPr>
                <w:rFonts w:ascii="Arial" w:hAnsi="Arial" w:cs="Arial"/>
                <w:sz w:val="20"/>
                <w:szCs w:val="20"/>
              </w:rPr>
              <w:t xml:space="preserve">/J) or lb/MMBtu heat input) that would result from combusting fuel in an </w:t>
            </w:r>
            <w:proofErr w:type="spellStart"/>
            <w:r>
              <w:rPr>
                <w:rFonts w:ascii="Arial" w:hAnsi="Arial" w:cs="Arial"/>
                <w:sz w:val="20"/>
                <w:szCs w:val="20"/>
              </w:rPr>
              <w:t>uncleaned</w:t>
            </w:r>
            <w:proofErr w:type="spellEnd"/>
            <w:r>
              <w:rPr>
                <w:rFonts w:ascii="Arial" w:hAnsi="Arial" w:cs="Arial"/>
                <w:sz w:val="20"/>
                <w:szCs w:val="20"/>
              </w:rPr>
              <w:t xml:space="preserve"> state and without using emission control systems.</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Process heater</w:t>
            </w:r>
            <w:r>
              <w:rPr>
                <w:rFonts w:ascii="Arial" w:hAnsi="Arial" w:cs="Arial"/>
                <w:sz w:val="20"/>
                <w:szCs w:val="20"/>
              </w:rPr>
              <w:t xml:space="preserve"> means a device that is primarily used to heat a material to initiate or promote a chemical reaction in which the material participates as a reactant or catalyst.</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Residual oil</w:t>
            </w:r>
            <w:r>
              <w:rPr>
                <w:rFonts w:ascii="Arial" w:hAnsi="Arial" w:cs="Arial"/>
                <w:sz w:val="20"/>
                <w:szCs w:val="20"/>
              </w:rPr>
              <w:t xml:space="preserve"> means crude oil, fuel oil that does not comply with the specifications under the definition of distillate oil, and all fuel oil numbers 4, 5, and 6, as defined by the American Society for Testing and Materials in ASTM D396 (incorporated by reference, see § 60.17).</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Steam generating unit</w:t>
            </w:r>
            <w:r>
              <w:rPr>
                <w:rFonts w:ascii="Arial" w:hAnsi="Arial" w:cs="Arial"/>
                <w:sz w:val="20"/>
                <w:szCs w:val="20"/>
              </w:rPr>
              <w:t xml:space="preserve"> means a device that combusts any fuel and produces steam or heats water or heats any heat transfer medium. This term includes any duct burner that combusts fuel and is part of a combined cycle system. This term does not include process heaters as defined in this subpart.</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Steam generating unit operating day</w:t>
            </w:r>
            <w:r>
              <w:rPr>
                <w:rFonts w:ascii="Arial" w:hAnsi="Arial" w:cs="Arial"/>
                <w:sz w:val="20"/>
                <w:szCs w:val="20"/>
              </w:rPr>
              <w:t xml:space="preserve"> means a 24-hour period between 12:00 midnight and the following midnight during which any fuel is combusted at any time in the steam generating unit. It is not necessary for fuel to be combusted continuously for the entire 24-hour period.</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Temporary boiler</w:t>
            </w:r>
            <w:r>
              <w:rPr>
                <w:rFonts w:ascii="Arial" w:hAnsi="Arial" w:cs="Arial"/>
                <w:sz w:val="20"/>
                <w:szCs w:val="20"/>
              </w:rPr>
              <w:t xml:space="preserve"> means a steam generating unit that combusts natural gas or distillate oil with a potential SO</w:t>
            </w:r>
            <w:r>
              <w:rPr>
                <w:rFonts w:ascii="Arial" w:hAnsi="Arial" w:cs="Arial"/>
                <w:sz w:val="14"/>
                <w:szCs w:val="14"/>
                <w:vertAlign w:val="subscript"/>
              </w:rPr>
              <w:t>2</w:t>
            </w:r>
            <w:r>
              <w:rPr>
                <w:rFonts w:ascii="Arial" w:hAnsi="Arial" w:cs="Arial"/>
                <w:sz w:val="20"/>
                <w:szCs w:val="20"/>
              </w:rPr>
              <w:t xml:space="preserve"> emissions rate no greater than 26 </w:t>
            </w:r>
            <w:proofErr w:type="spellStart"/>
            <w:r>
              <w:rPr>
                <w:rFonts w:ascii="Arial" w:hAnsi="Arial" w:cs="Arial"/>
                <w:sz w:val="20"/>
                <w:szCs w:val="20"/>
              </w:rPr>
              <w:t>ng</w:t>
            </w:r>
            <w:proofErr w:type="spellEnd"/>
            <w:r>
              <w:rPr>
                <w:rFonts w:ascii="Arial" w:hAnsi="Arial" w:cs="Arial"/>
                <w:sz w:val="20"/>
                <w:szCs w:val="20"/>
              </w:rPr>
              <w:t>/J (0.060 lb/MMBtu), and the unit is designed to, and is capable of, being carried or moved from one location to another by means of, for example, wheels, skids, carrying handles, dollies, trailers, or platforms. A steam generating unit is not a temporary boiler if any one of the following conditions exists:</w:t>
            </w:r>
          </w:p>
          <w:p w:rsidR="00A12ACD" w:rsidRDefault="00A12ACD" w:rsidP="00A12ACD">
            <w:pPr>
              <w:pStyle w:val="NormalWeb"/>
              <w:divId w:val="311909253"/>
              <w:rPr>
                <w:rFonts w:ascii="Arial" w:hAnsi="Arial" w:cs="Arial"/>
                <w:sz w:val="20"/>
                <w:szCs w:val="20"/>
              </w:rPr>
            </w:pPr>
            <w:r>
              <w:rPr>
                <w:rFonts w:ascii="Arial" w:hAnsi="Arial" w:cs="Arial"/>
                <w:sz w:val="20"/>
                <w:szCs w:val="20"/>
              </w:rPr>
              <w:t>(1) The equipment is attached to a foundation.</w:t>
            </w:r>
          </w:p>
          <w:p w:rsidR="00A12ACD" w:rsidRDefault="00A12ACD" w:rsidP="00A12ACD">
            <w:pPr>
              <w:pStyle w:val="NormalWeb"/>
              <w:divId w:val="311909253"/>
              <w:rPr>
                <w:rFonts w:ascii="Arial" w:hAnsi="Arial" w:cs="Arial"/>
                <w:sz w:val="20"/>
                <w:szCs w:val="20"/>
              </w:rPr>
            </w:pPr>
            <w:r>
              <w:rPr>
                <w:rFonts w:ascii="Arial" w:hAnsi="Arial" w:cs="Arial"/>
                <w:sz w:val="20"/>
                <w:szCs w:val="20"/>
              </w:rPr>
              <w:t>(2) The steam generating unit or a replacement remains at a location for more than 180 consecutive days. Any temporary boiler that replaces a temporary boiler at a location and performs the same or similar function will be included in calculating the consecutive time period.</w:t>
            </w:r>
          </w:p>
          <w:p w:rsidR="00A12ACD" w:rsidRDefault="00A12ACD" w:rsidP="00A12ACD">
            <w:pPr>
              <w:pStyle w:val="NormalWeb"/>
              <w:divId w:val="311909253"/>
              <w:rPr>
                <w:rFonts w:ascii="Arial" w:hAnsi="Arial" w:cs="Arial"/>
                <w:sz w:val="20"/>
                <w:szCs w:val="20"/>
              </w:rPr>
            </w:pPr>
            <w:r>
              <w:rPr>
                <w:rFonts w:ascii="Arial" w:hAnsi="Arial" w:cs="Arial"/>
                <w:sz w:val="20"/>
                <w:szCs w:val="20"/>
              </w:rPr>
              <w:t>(3) The equipment is located at a seasonal facility and operates during the full annual operating period of the seasonal facility, remains at the facility for at least 2 years, and operates at that facility for at least 3 months each year.</w:t>
            </w:r>
          </w:p>
          <w:p w:rsidR="00A12ACD" w:rsidRDefault="00A12ACD" w:rsidP="00A12ACD">
            <w:pPr>
              <w:pStyle w:val="NormalWeb"/>
              <w:divId w:val="311909253"/>
              <w:rPr>
                <w:rFonts w:ascii="Arial" w:hAnsi="Arial" w:cs="Arial"/>
                <w:sz w:val="20"/>
                <w:szCs w:val="20"/>
              </w:rPr>
            </w:pPr>
            <w:r>
              <w:rPr>
                <w:rFonts w:ascii="Arial" w:hAnsi="Arial" w:cs="Arial"/>
                <w:sz w:val="20"/>
                <w:szCs w:val="20"/>
              </w:rPr>
              <w:t>(4) The equipment is moved from one location to another in an attempt to circumvent the residence time requirements of this definition.</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Wet flue gas desulfurization technology</w:t>
            </w:r>
            <w:r>
              <w:rPr>
                <w:rFonts w:ascii="Arial" w:hAnsi="Arial" w:cs="Arial"/>
                <w:sz w:val="20"/>
                <w:szCs w:val="20"/>
              </w:rPr>
              <w:t xml:space="preserve"> means an SO</w:t>
            </w:r>
            <w:r>
              <w:rPr>
                <w:rFonts w:ascii="Arial" w:hAnsi="Arial" w:cs="Arial"/>
                <w:sz w:val="14"/>
                <w:szCs w:val="14"/>
                <w:vertAlign w:val="subscript"/>
              </w:rPr>
              <w:t>2</w:t>
            </w:r>
            <w:r>
              <w:rPr>
                <w:rFonts w:ascii="Arial" w:hAnsi="Arial" w:cs="Arial"/>
                <w:sz w:val="20"/>
                <w:szCs w:val="20"/>
              </w:rPr>
              <w:t xml:space="preserve"> control system that is located between the steam generating unit and the exhaust vent or stack, and that removes sulfur oxides from the combustion gases of the steam generating unit by contacting the combustion gases with an alkaline slurry or solution and forming a liquid material. This definition includes devices where the liquid material is subsequently converted to another form. Alkaline reagents used in wet flue gas desulfurization systems include, but are not limited to, lime, limestone, and sodium compounds.</w:t>
            </w:r>
          </w:p>
          <w:p w:rsidR="00A12ACD" w:rsidRDefault="00A12ACD" w:rsidP="00A12ACD">
            <w:pPr>
              <w:pStyle w:val="NormalWeb"/>
              <w:divId w:val="311909253"/>
              <w:rPr>
                <w:rFonts w:ascii="Arial" w:hAnsi="Arial" w:cs="Arial"/>
                <w:sz w:val="20"/>
                <w:szCs w:val="20"/>
              </w:rPr>
            </w:pPr>
            <w:r>
              <w:rPr>
                <w:rFonts w:ascii="Arial" w:hAnsi="Arial" w:cs="Arial"/>
                <w:i/>
                <w:iCs/>
                <w:sz w:val="20"/>
                <w:szCs w:val="20"/>
              </w:rPr>
              <w:t>Wet scrubber system</w:t>
            </w:r>
            <w:r>
              <w:rPr>
                <w:rFonts w:ascii="Arial" w:hAnsi="Arial" w:cs="Arial"/>
                <w:sz w:val="20"/>
                <w:szCs w:val="20"/>
              </w:rPr>
              <w:t xml:space="preserve"> means any emission control device that mixes an aqueous stream or slurry with the exhaust gases from a steam generating unit to control emissions of PM or </w:t>
            </w:r>
            <w:proofErr w:type="gramStart"/>
            <w:r>
              <w:rPr>
                <w:rFonts w:ascii="Arial" w:hAnsi="Arial" w:cs="Arial"/>
                <w:sz w:val="20"/>
                <w:szCs w:val="20"/>
              </w:rPr>
              <w:t>SO</w:t>
            </w:r>
            <w:r>
              <w:rPr>
                <w:rFonts w:ascii="Arial" w:hAnsi="Arial" w:cs="Arial"/>
                <w:sz w:val="14"/>
                <w:szCs w:val="14"/>
                <w:vertAlign w:val="subscript"/>
              </w:rPr>
              <w:t>2</w:t>
            </w:r>
            <w:r>
              <w:rPr>
                <w:rFonts w:ascii="Arial" w:hAnsi="Arial" w:cs="Arial"/>
                <w:sz w:val="20"/>
                <w:szCs w:val="20"/>
              </w:rPr>
              <w:t xml:space="preserve"> .</w:t>
            </w:r>
            <w:proofErr w:type="gramEnd"/>
          </w:p>
          <w:p w:rsidR="00A12ACD" w:rsidRDefault="00A12ACD" w:rsidP="00A12ACD">
            <w:pPr>
              <w:pStyle w:val="NormalWeb"/>
              <w:divId w:val="311909253"/>
              <w:rPr>
                <w:rFonts w:ascii="Arial" w:hAnsi="Arial" w:cs="Arial"/>
                <w:sz w:val="20"/>
                <w:szCs w:val="20"/>
              </w:rPr>
            </w:pPr>
            <w:r>
              <w:rPr>
                <w:rFonts w:ascii="Arial" w:hAnsi="Arial" w:cs="Arial"/>
                <w:i/>
                <w:iCs/>
                <w:sz w:val="20"/>
                <w:szCs w:val="20"/>
              </w:rPr>
              <w:t>Wood</w:t>
            </w:r>
            <w:r>
              <w:rPr>
                <w:rFonts w:ascii="Arial" w:hAnsi="Arial" w:cs="Arial"/>
                <w:sz w:val="20"/>
                <w:szCs w:val="20"/>
              </w:rPr>
              <w:t xml:space="preserve"> means wood, wood residue, bark, or any derivative fuel or residue thereof, in any form, including but not limited to sawdust, </w:t>
            </w:r>
            <w:proofErr w:type="spellStart"/>
            <w:r>
              <w:rPr>
                <w:rFonts w:ascii="Arial" w:hAnsi="Arial" w:cs="Arial"/>
                <w:sz w:val="20"/>
                <w:szCs w:val="20"/>
              </w:rPr>
              <w:t>sanderdust</w:t>
            </w:r>
            <w:proofErr w:type="spellEnd"/>
            <w:r>
              <w:rPr>
                <w:rFonts w:ascii="Arial" w:hAnsi="Arial" w:cs="Arial"/>
                <w:sz w:val="20"/>
                <w:szCs w:val="20"/>
              </w:rPr>
              <w:t>, wood chips, scraps, slabs, millings, shavings, and processed pellets made from wood or other forest residues.</w:t>
            </w:r>
          </w:p>
          <w:p w:rsidR="00A12ACD" w:rsidRDefault="00A12ACD" w:rsidP="00A12ACD">
            <w:pPr>
              <w:pStyle w:val="cita"/>
              <w:divId w:val="311909253"/>
              <w:rPr>
                <w:rFonts w:ascii="Arial" w:hAnsi="Arial" w:cs="Arial"/>
              </w:rPr>
            </w:pPr>
            <w:r>
              <w:rPr>
                <w:rFonts w:ascii="Arial" w:hAnsi="Arial" w:cs="Arial"/>
              </w:rPr>
              <w:t>[72 FR 32759, June 13, 2007, as amended at 74 FR 5090, Jan. 28, 2009; 77 FR 9461, Feb. 16, 2012]</w:t>
            </w:r>
          </w:p>
          <w:p w:rsidR="00A12ACD" w:rsidRDefault="00A12ACD" w:rsidP="00A12ACD">
            <w:pPr>
              <w:pStyle w:val="fp"/>
              <w:divId w:val="1498960327"/>
              <w:rPr>
                <w:rFonts w:ascii="Arial" w:hAnsi="Arial" w:cs="Arial"/>
                <w:sz w:val="20"/>
                <w:szCs w:val="20"/>
              </w:rPr>
            </w:pPr>
            <w:hyperlink w:anchor="_top" w:history="1">
              <w:r>
                <w:rPr>
                  <w:rFonts w:ascii="Arial" w:hAnsi="Arial" w:cs="Arial"/>
                  <w:noProof/>
                  <w:color w:val="0000FF"/>
                  <w:sz w:val="17"/>
                  <w:szCs w:val="17"/>
                </w:rPr>
                <w:drawing>
                  <wp:inline distT="0" distB="0" distL="0" distR="0">
                    <wp:extent cx="152400" cy="152400"/>
                    <wp:effectExtent l="0" t="0" r="0" b="0"/>
                    <wp:docPr id="33" name="Picture 13" descr="return arr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9"/>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Style w:val="Hyperlink"/>
                </w:rPr>
                <w:t>Back to Top</w:t>
              </w:r>
            </w:hyperlink>
          </w:p>
          <w:p w:rsidR="00A12ACD" w:rsidRDefault="00A12ACD" w:rsidP="00A12ACD">
            <w:pPr>
              <w:pStyle w:val="Heading2"/>
              <w:jc w:val="left"/>
              <w:divId w:val="311909253"/>
              <w:rPr>
                <w:rFonts w:ascii="Arial" w:eastAsia="Times New Roman" w:hAnsi="Arial" w:cs="Arial"/>
              </w:rPr>
            </w:pPr>
            <w:bookmarkStart w:id="3" w:name="40:7.0.1.1.1.12.151.3"/>
            <w:bookmarkEnd w:id="3"/>
            <w:r>
              <w:rPr>
                <w:rFonts w:ascii="Arial" w:eastAsia="Times New Roman" w:hAnsi="Arial" w:cs="Arial"/>
              </w:rPr>
              <w:t>§ 60.42c   Standard for sulfur dioxide (</w:t>
            </w:r>
            <w:proofErr w:type="gramStart"/>
            <w:r>
              <w:rPr>
                <w:rFonts w:ascii="Arial" w:eastAsia="Times New Roman" w:hAnsi="Arial" w:cs="Arial"/>
              </w:rPr>
              <w:t>SO</w:t>
            </w:r>
            <w:r>
              <w:rPr>
                <w:rFonts w:ascii="Arial" w:eastAsia="Times New Roman" w:hAnsi="Arial" w:cs="Arial"/>
                <w:sz w:val="14"/>
                <w:szCs w:val="14"/>
                <w:vertAlign w:val="subscript"/>
              </w:rPr>
              <w:t>2</w:t>
            </w:r>
            <w:r>
              <w:rPr>
                <w:rFonts w:ascii="Arial" w:eastAsia="Times New Roman" w:hAnsi="Arial" w:cs="Arial"/>
              </w:rPr>
              <w:t xml:space="preserve"> )</w:t>
            </w:r>
            <w:proofErr w:type="gramEnd"/>
            <w:r>
              <w:rPr>
                <w:rFonts w:ascii="Arial" w:eastAsia="Times New Roman" w:hAnsi="Arial" w:cs="Arial"/>
              </w:rPr>
              <w:t>.</w:t>
            </w:r>
          </w:p>
          <w:p w:rsidR="00A12ACD" w:rsidRDefault="00A12ACD" w:rsidP="00A12ACD">
            <w:pPr>
              <w:pStyle w:val="NormalWeb"/>
              <w:divId w:val="311909253"/>
              <w:rPr>
                <w:rFonts w:ascii="Arial" w:hAnsi="Arial" w:cs="Arial"/>
                <w:sz w:val="20"/>
                <w:szCs w:val="20"/>
              </w:rPr>
            </w:pPr>
            <w:r>
              <w:rPr>
                <w:rFonts w:ascii="Arial" w:hAnsi="Arial" w:cs="Arial"/>
                <w:sz w:val="20"/>
                <w:szCs w:val="20"/>
              </w:rPr>
              <w:t>(a) Except as provided in paragraphs (b), (c), and (e) of this section, on and after the date on which the performance test is completed or required to be completed under § 60.8, whichever date comes first, the owner or operator of an affected facility that combusts only coal shall neither: cause to be discharged into the atmosphere from the affected facility any gases that contain SO</w:t>
            </w:r>
            <w:r>
              <w:rPr>
                <w:rFonts w:ascii="Arial" w:hAnsi="Arial" w:cs="Arial"/>
                <w:sz w:val="14"/>
                <w:szCs w:val="14"/>
                <w:vertAlign w:val="subscript"/>
              </w:rPr>
              <w:t>2</w:t>
            </w:r>
            <w:r>
              <w:rPr>
                <w:rFonts w:ascii="Arial" w:hAnsi="Arial" w:cs="Arial"/>
                <w:sz w:val="20"/>
                <w:szCs w:val="20"/>
              </w:rPr>
              <w:t xml:space="preserve"> in excess of 87 </w:t>
            </w:r>
            <w:proofErr w:type="spellStart"/>
            <w:r>
              <w:rPr>
                <w:rFonts w:ascii="Arial" w:hAnsi="Arial" w:cs="Arial"/>
                <w:sz w:val="20"/>
                <w:szCs w:val="20"/>
              </w:rPr>
              <w:t>ng</w:t>
            </w:r>
            <w:proofErr w:type="spellEnd"/>
            <w:r>
              <w:rPr>
                <w:rFonts w:ascii="Arial" w:hAnsi="Arial" w:cs="Arial"/>
                <w:sz w:val="20"/>
                <w:szCs w:val="20"/>
              </w:rPr>
              <w:t>/J (0.20 lb/MMBtu) heat input or 10 percent (0.10) of the potential SO</w:t>
            </w:r>
            <w:r>
              <w:rPr>
                <w:rFonts w:ascii="Arial" w:hAnsi="Arial" w:cs="Arial"/>
                <w:sz w:val="14"/>
                <w:szCs w:val="14"/>
                <w:vertAlign w:val="subscript"/>
              </w:rPr>
              <w:t>2</w:t>
            </w:r>
            <w:r>
              <w:rPr>
                <w:rFonts w:ascii="Arial" w:hAnsi="Arial" w:cs="Arial"/>
                <w:sz w:val="20"/>
                <w:szCs w:val="20"/>
              </w:rPr>
              <w:t xml:space="preserve"> emission rate (90 percent reduction), nor cause to be discharged into the atmosphere from the affected facility any gases that contain SO</w:t>
            </w:r>
            <w:r>
              <w:rPr>
                <w:rFonts w:ascii="Arial" w:hAnsi="Arial" w:cs="Arial"/>
                <w:sz w:val="14"/>
                <w:szCs w:val="14"/>
                <w:vertAlign w:val="subscript"/>
              </w:rPr>
              <w:t>2</w:t>
            </w:r>
            <w:r>
              <w:rPr>
                <w:rFonts w:ascii="Arial" w:hAnsi="Arial" w:cs="Arial"/>
                <w:sz w:val="20"/>
                <w:szCs w:val="20"/>
              </w:rPr>
              <w:t xml:space="preserve"> in excess of 520 </w:t>
            </w:r>
            <w:proofErr w:type="spellStart"/>
            <w:r>
              <w:rPr>
                <w:rFonts w:ascii="Arial" w:hAnsi="Arial" w:cs="Arial"/>
                <w:sz w:val="20"/>
                <w:szCs w:val="20"/>
              </w:rPr>
              <w:t>ng</w:t>
            </w:r>
            <w:proofErr w:type="spellEnd"/>
            <w:r>
              <w:rPr>
                <w:rFonts w:ascii="Arial" w:hAnsi="Arial" w:cs="Arial"/>
                <w:sz w:val="20"/>
                <w:szCs w:val="20"/>
              </w:rPr>
              <w:t>/J (1.2 lb/MMBtu) heat input. If coal is combusted with other fuels, the affected facility shall neither: cause to be discharged into the atmosphere from the affected facility any gases that contain SO</w:t>
            </w:r>
            <w:r>
              <w:rPr>
                <w:rFonts w:ascii="Arial" w:hAnsi="Arial" w:cs="Arial"/>
                <w:sz w:val="14"/>
                <w:szCs w:val="14"/>
                <w:vertAlign w:val="subscript"/>
              </w:rPr>
              <w:t>2</w:t>
            </w:r>
            <w:r>
              <w:rPr>
                <w:rFonts w:ascii="Arial" w:hAnsi="Arial" w:cs="Arial"/>
                <w:sz w:val="20"/>
                <w:szCs w:val="20"/>
              </w:rPr>
              <w:t xml:space="preserve"> in excess of 87 </w:t>
            </w:r>
            <w:proofErr w:type="spellStart"/>
            <w:r>
              <w:rPr>
                <w:rFonts w:ascii="Arial" w:hAnsi="Arial" w:cs="Arial"/>
                <w:sz w:val="20"/>
                <w:szCs w:val="20"/>
              </w:rPr>
              <w:t>ng</w:t>
            </w:r>
            <w:proofErr w:type="spellEnd"/>
            <w:r>
              <w:rPr>
                <w:rFonts w:ascii="Arial" w:hAnsi="Arial" w:cs="Arial"/>
                <w:sz w:val="20"/>
                <w:szCs w:val="20"/>
              </w:rPr>
              <w:t>/J (0.20 lb/MMBtu) heat input or 10 percent (0.10) of the potential SO</w:t>
            </w:r>
            <w:r>
              <w:rPr>
                <w:rFonts w:ascii="Arial" w:hAnsi="Arial" w:cs="Arial"/>
                <w:sz w:val="14"/>
                <w:szCs w:val="14"/>
                <w:vertAlign w:val="subscript"/>
              </w:rPr>
              <w:t>2</w:t>
            </w:r>
            <w:r>
              <w:rPr>
                <w:rFonts w:ascii="Arial" w:hAnsi="Arial" w:cs="Arial"/>
                <w:sz w:val="20"/>
                <w:szCs w:val="20"/>
              </w:rPr>
              <w:t xml:space="preserve"> emission rate (90 percent reduction), nor cause to be discharged into the atmosphere from the affected facility any gases that contain SO</w:t>
            </w:r>
            <w:r>
              <w:rPr>
                <w:rFonts w:ascii="Arial" w:hAnsi="Arial" w:cs="Arial"/>
                <w:sz w:val="14"/>
                <w:szCs w:val="14"/>
                <w:vertAlign w:val="subscript"/>
              </w:rPr>
              <w:t>2</w:t>
            </w:r>
            <w:r>
              <w:rPr>
                <w:rFonts w:ascii="Arial" w:hAnsi="Arial" w:cs="Arial"/>
                <w:sz w:val="20"/>
                <w:szCs w:val="20"/>
              </w:rPr>
              <w:t xml:space="preserve"> in excess of the emission limit is determined pursuant to paragraph (e)(2) of this section.</w:t>
            </w:r>
          </w:p>
          <w:p w:rsidR="00A12ACD" w:rsidRDefault="00A12ACD" w:rsidP="00A12ACD">
            <w:pPr>
              <w:pStyle w:val="NormalWeb"/>
              <w:divId w:val="311909253"/>
              <w:rPr>
                <w:rFonts w:ascii="Arial" w:hAnsi="Arial" w:cs="Arial"/>
                <w:sz w:val="20"/>
                <w:szCs w:val="20"/>
              </w:rPr>
            </w:pPr>
            <w:r>
              <w:rPr>
                <w:rFonts w:ascii="Arial" w:hAnsi="Arial" w:cs="Arial"/>
                <w:sz w:val="20"/>
                <w:szCs w:val="20"/>
              </w:rPr>
              <w:t>(b) Except as provided in paragraphs (c) and (e) of this section, on and after the date on which the performance test is completed or required to be completed under § 60.8, whichever date comes first, the owner or operator of an affected facility that:</w:t>
            </w:r>
          </w:p>
          <w:p w:rsidR="00A12ACD" w:rsidRDefault="00A12ACD" w:rsidP="00A12ACD">
            <w:pPr>
              <w:pStyle w:val="NormalWeb"/>
              <w:divId w:val="311909253"/>
              <w:rPr>
                <w:rFonts w:ascii="Arial" w:hAnsi="Arial" w:cs="Arial"/>
                <w:sz w:val="20"/>
                <w:szCs w:val="20"/>
              </w:rPr>
            </w:pPr>
            <w:r>
              <w:rPr>
                <w:rFonts w:ascii="Arial" w:hAnsi="Arial" w:cs="Arial"/>
                <w:sz w:val="20"/>
                <w:szCs w:val="20"/>
              </w:rPr>
              <w:t>(1) Combusts only coal refuse alone in a fluidized bed combustion steam generating unit shall neither:</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Cause to be discharged into the atmosphere from that affected facility any gases that contain SO</w:t>
            </w:r>
            <w:r>
              <w:rPr>
                <w:rFonts w:ascii="Arial" w:hAnsi="Arial" w:cs="Arial"/>
                <w:sz w:val="14"/>
                <w:szCs w:val="14"/>
                <w:vertAlign w:val="subscript"/>
              </w:rPr>
              <w:t>2</w:t>
            </w:r>
            <w:r>
              <w:rPr>
                <w:rFonts w:ascii="Arial" w:hAnsi="Arial" w:cs="Arial"/>
                <w:sz w:val="20"/>
                <w:szCs w:val="20"/>
              </w:rPr>
              <w:t xml:space="preserve"> in excess of 87 </w:t>
            </w:r>
            <w:proofErr w:type="spellStart"/>
            <w:r>
              <w:rPr>
                <w:rFonts w:ascii="Arial" w:hAnsi="Arial" w:cs="Arial"/>
                <w:sz w:val="20"/>
                <w:szCs w:val="20"/>
              </w:rPr>
              <w:t>ng</w:t>
            </w:r>
            <w:proofErr w:type="spellEnd"/>
            <w:r>
              <w:rPr>
                <w:rFonts w:ascii="Arial" w:hAnsi="Arial" w:cs="Arial"/>
                <w:sz w:val="20"/>
                <w:szCs w:val="20"/>
              </w:rPr>
              <w:t>/J (0.20 lb/MMBtu) heat input or 20 percent (0.20) of the potential SO</w:t>
            </w:r>
            <w:r>
              <w:rPr>
                <w:rFonts w:ascii="Arial" w:hAnsi="Arial" w:cs="Arial"/>
                <w:sz w:val="14"/>
                <w:szCs w:val="14"/>
                <w:vertAlign w:val="subscript"/>
              </w:rPr>
              <w:t>2</w:t>
            </w:r>
            <w:r>
              <w:rPr>
                <w:rFonts w:ascii="Arial" w:hAnsi="Arial" w:cs="Arial"/>
                <w:sz w:val="20"/>
                <w:szCs w:val="20"/>
              </w:rPr>
              <w:t xml:space="preserve"> emission rate (80 percent reduction); nor</w:t>
            </w:r>
          </w:p>
          <w:p w:rsidR="00A12ACD" w:rsidRDefault="00A12ACD" w:rsidP="00A12ACD">
            <w:pPr>
              <w:pStyle w:val="NormalWeb"/>
              <w:divId w:val="311909253"/>
              <w:rPr>
                <w:rFonts w:ascii="Arial" w:hAnsi="Arial" w:cs="Arial"/>
                <w:sz w:val="20"/>
                <w:szCs w:val="20"/>
              </w:rPr>
            </w:pPr>
            <w:r>
              <w:rPr>
                <w:rFonts w:ascii="Arial" w:hAnsi="Arial" w:cs="Arial"/>
                <w:sz w:val="20"/>
                <w:szCs w:val="20"/>
              </w:rPr>
              <w:t>(ii) Cause to be discharged into the atmosphere from that affected facility any gases that contain SO</w:t>
            </w:r>
            <w:r>
              <w:rPr>
                <w:rFonts w:ascii="Arial" w:hAnsi="Arial" w:cs="Arial"/>
                <w:sz w:val="14"/>
                <w:szCs w:val="14"/>
                <w:vertAlign w:val="subscript"/>
              </w:rPr>
              <w:t>2</w:t>
            </w:r>
            <w:r>
              <w:rPr>
                <w:rFonts w:ascii="Arial" w:hAnsi="Arial" w:cs="Arial"/>
                <w:sz w:val="20"/>
                <w:szCs w:val="20"/>
              </w:rPr>
              <w:t xml:space="preserve"> in excess of SO</w:t>
            </w:r>
            <w:r>
              <w:rPr>
                <w:rFonts w:ascii="Arial" w:hAnsi="Arial" w:cs="Arial"/>
                <w:sz w:val="14"/>
                <w:szCs w:val="14"/>
                <w:vertAlign w:val="subscript"/>
              </w:rPr>
              <w:t>2</w:t>
            </w:r>
            <w:r>
              <w:rPr>
                <w:rFonts w:ascii="Arial" w:hAnsi="Arial" w:cs="Arial"/>
                <w:sz w:val="20"/>
                <w:szCs w:val="20"/>
              </w:rPr>
              <w:t xml:space="preserve"> in excess of 520 </w:t>
            </w:r>
            <w:proofErr w:type="spellStart"/>
            <w:r>
              <w:rPr>
                <w:rFonts w:ascii="Arial" w:hAnsi="Arial" w:cs="Arial"/>
                <w:sz w:val="20"/>
                <w:szCs w:val="20"/>
              </w:rPr>
              <w:t>ng</w:t>
            </w:r>
            <w:proofErr w:type="spellEnd"/>
            <w:r>
              <w:rPr>
                <w:rFonts w:ascii="Arial" w:hAnsi="Arial" w:cs="Arial"/>
                <w:sz w:val="20"/>
                <w:szCs w:val="20"/>
              </w:rPr>
              <w:t xml:space="preserve">/J (1.2 lb/MMBtu) heat input. If coal is fired with coal refuse, the affected facility subject to paragraph (a) of this section. If oil or any other fuel (except coal) is fired with coal refuse, the affected facility is subject to the 87 </w:t>
            </w:r>
            <w:proofErr w:type="spellStart"/>
            <w:r>
              <w:rPr>
                <w:rFonts w:ascii="Arial" w:hAnsi="Arial" w:cs="Arial"/>
                <w:sz w:val="20"/>
                <w:szCs w:val="20"/>
              </w:rPr>
              <w:t>ng</w:t>
            </w:r>
            <w:proofErr w:type="spellEnd"/>
            <w:r>
              <w:rPr>
                <w:rFonts w:ascii="Arial" w:hAnsi="Arial" w:cs="Arial"/>
                <w:sz w:val="20"/>
                <w:szCs w:val="20"/>
              </w:rPr>
              <w:t>/J (0.20 lb/MMBtu) heat input SO</w:t>
            </w:r>
            <w:r>
              <w:rPr>
                <w:rFonts w:ascii="Arial" w:hAnsi="Arial" w:cs="Arial"/>
                <w:sz w:val="14"/>
                <w:szCs w:val="14"/>
                <w:vertAlign w:val="subscript"/>
              </w:rPr>
              <w:t>2</w:t>
            </w:r>
            <w:r>
              <w:rPr>
                <w:rFonts w:ascii="Arial" w:hAnsi="Arial" w:cs="Arial"/>
                <w:sz w:val="20"/>
                <w:szCs w:val="20"/>
              </w:rPr>
              <w:t xml:space="preserve"> emissions limit or the 90 percent SO</w:t>
            </w:r>
            <w:r>
              <w:rPr>
                <w:rFonts w:ascii="Arial" w:hAnsi="Arial" w:cs="Arial"/>
                <w:sz w:val="14"/>
                <w:szCs w:val="14"/>
                <w:vertAlign w:val="subscript"/>
              </w:rPr>
              <w:t>2</w:t>
            </w:r>
            <w:r>
              <w:rPr>
                <w:rFonts w:ascii="Arial" w:hAnsi="Arial" w:cs="Arial"/>
                <w:sz w:val="20"/>
                <w:szCs w:val="20"/>
              </w:rPr>
              <w:t xml:space="preserve"> reduction requirement specified in paragraph (a) of this section and the emission limit is determined pursuant to paragraph (e)(2) of this section.</w:t>
            </w:r>
          </w:p>
          <w:p w:rsidR="00A12ACD" w:rsidRDefault="00A12ACD" w:rsidP="00A12ACD">
            <w:pPr>
              <w:pStyle w:val="NormalWeb"/>
              <w:divId w:val="311909253"/>
              <w:rPr>
                <w:rFonts w:ascii="Arial" w:hAnsi="Arial" w:cs="Arial"/>
                <w:sz w:val="20"/>
                <w:szCs w:val="20"/>
              </w:rPr>
            </w:pPr>
            <w:r>
              <w:rPr>
                <w:rFonts w:ascii="Arial" w:hAnsi="Arial" w:cs="Arial"/>
                <w:sz w:val="20"/>
                <w:szCs w:val="20"/>
              </w:rPr>
              <w:t>(2) Combusts only coal and that uses an emerging technology for the control of SO</w:t>
            </w:r>
            <w:r>
              <w:rPr>
                <w:rFonts w:ascii="Arial" w:hAnsi="Arial" w:cs="Arial"/>
                <w:sz w:val="14"/>
                <w:szCs w:val="14"/>
                <w:vertAlign w:val="subscript"/>
              </w:rPr>
              <w:t>2</w:t>
            </w:r>
            <w:r>
              <w:rPr>
                <w:rFonts w:ascii="Arial" w:hAnsi="Arial" w:cs="Arial"/>
                <w:sz w:val="20"/>
                <w:szCs w:val="20"/>
              </w:rPr>
              <w:t xml:space="preserve"> emissions shall neither:</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Cause to be discharged into the atmosphere from that affected facility any gases that contain SO</w:t>
            </w:r>
            <w:r>
              <w:rPr>
                <w:rFonts w:ascii="Arial" w:hAnsi="Arial" w:cs="Arial"/>
                <w:sz w:val="14"/>
                <w:szCs w:val="14"/>
                <w:vertAlign w:val="subscript"/>
              </w:rPr>
              <w:t>2</w:t>
            </w:r>
            <w:r>
              <w:rPr>
                <w:rFonts w:ascii="Arial" w:hAnsi="Arial" w:cs="Arial"/>
                <w:sz w:val="20"/>
                <w:szCs w:val="20"/>
              </w:rPr>
              <w:t xml:space="preserve"> in excess of 50 percent (0.50) of the potential SO</w:t>
            </w:r>
            <w:r>
              <w:rPr>
                <w:rFonts w:ascii="Arial" w:hAnsi="Arial" w:cs="Arial"/>
                <w:sz w:val="14"/>
                <w:szCs w:val="14"/>
                <w:vertAlign w:val="subscript"/>
              </w:rPr>
              <w:t>2</w:t>
            </w:r>
            <w:r>
              <w:rPr>
                <w:rFonts w:ascii="Arial" w:hAnsi="Arial" w:cs="Arial"/>
                <w:sz w:val="20"/>
                <w:szCs w:val="20"/>
              </w:rPr>
              <w:t xml:space="preserve"> emission rate (50 percent reduction); nor</w:t>
            </w:r>
          </w:p>
          <w:p w:rsidR="00A12ACD" w:rsidRDefault="00A12ACD" w:rsidP="00A12ACD">
            <w:pPr>
              <w:pStyle w:val="NormalWeb"/>
              <w:divId w:val="311909253"/>
              <w:rPr>
                <w:rFonts w:ascii="Arial" w:hAnsi="Arial" w:cs="Arial"/>
                <w:sz w:val="20"/>
                <w:szCs w:val="20"/>
              </w:rPr>
            </w:pPr>
            <w:r>
              <w:rPr>
                <w:rFonts w:ascii="Arial" w:hAnsi="Arial" w:cs="Arial"/>
                <w:sz w:val="20"/>
                <w:szCs w:val="20"/>
              </w:rPr>
              <w:t>(ii) Cause to be discharged into the atmosphere from that affected facility any gases that contain SO</w:t>
            </w:r>
            <w:r>
              <w:rPr>
                <w:rFonts w:ascii="Arial" w:hAnsi="Arial" w:cs="Arial"/>
                <w:sz w:val="14"/>
                <w:szCs w:val="14"/>
                <w:vertAlign w:val="subscript"/>
              </w:rPr>
              <w:t>2</w:t>
            </w:r>
            <w:r>
              <w:rPr>
                <w:rFonts w:ascii="Arial" w:hAnsi="Arial" w:cs="Arial"/>
                <w:sz w:val="20"/>
                <w:szCs w:val="20"/>
              </w:rPr>
              <w:t xml:space="preserve"> in excess of 260 </w:t>
            </w:r>
            <w:proofErr w:type="spellStart"/>
            <w:r>
              <w:rPr>
                <w:rFonts w:ascii="Arial" w:hAnsi="Arial" w:cs="Arial"/>
                <w:sz w:val="20"/>
                <w:szCs w:val="20"/>
              </w:rPr>
              <w:t>ng</w:t>
            </w:r>
            <w:proofErr w:type="spellEnd"/>
            <w:r>
              <w:rPr>
                <w:rFonts w:ascii="Arial" w:hAnsi="Arial" w:cs="Arial"/>
                <w:sz w:val="20"/>
                <w:szCs w:val="20"/>
              </w:rPr>
              <w:t>/J (0.60 lb/MMBtu) heat input. If coal is combusted with other fuels, the affected facility is subject to the 50 percent SO</w:t>
            </w:r>
            <w:r>
              <w:rPr>
                <w:rFonts w:ascii="Arial" w:hAnsi="Arial" w:cs="Arial"/>
                <w:sz w:val="14"/>
                <w:szCs w:val="14"/>
                <w:vertAlign w:val="subscript"/>
              </w:rPr>
              <w:t>2</w:t>
            </w:r>
            <w:r>
              <w:rPr>
                <w:rFonts w:ascii="Arial" w:hAnsi="Arial" w:cs="Arial"/>
                <w:sz w:val="20"/>
                <w:szCs w:val="20"/>
              </w:rPr>
              <w:t xml:space="preserve"> reduction requirement specified in this paragraph and the emission limit determined pursuant to paragraph (e)(2) of this section.</w:t>
            </w:r>
          </w:p>
          <w:p w:rsidR="00A12ACD" w:rsidRDefault="00A12ACD" w:rsidP="00A12ACD">
            <w:pPr>
              <w:pStyle w:val="NormalWeb"/>
              <w:divId w:val="311909253"/>
              <w:rPr>
                <w:rFonts w:ascii="Arial" w:hAnsi="Arial" w:cs="Arial"/>
                <w:sz w:val="20"/>
                <w:szCs w:val="20"/>
              </w:rPr>
            </w:pPr>
            <w:r>
              <w:rPr>
                <w:rFonts w:ascii="Arial" w:hAnsi="Arial" w:cs="Arial"/>
                <w:sz w:val="20"/>
                <w:szCs w:val="20"/>
              </w:rPr>
              <w:t>(c) On and after the date on which the initial performance test is completed or required to be completed under § 60.8, whichever date comes first, no owner or operator of an affected facility that combusts coal, alone or in combination with any other fuel, and is listed in paragraphs (c)(1), (2), (3), or (4) of this section shall cause to be discharged into the atmosphere from that affected facility any gases that contain SO</w:t>
            </w:r>
            <w:r>
              <w:rPr>
                <w:rFonts w:ascii="Arial" w:hAnsi="Arial" w:cs="Arial"/>
                <w:sz w:val="14"/>
                <w:szCs w:val="14"/>
                <w:vertAlign w:val="subscript"/>
              </w:rPr>
              <w:t>2</w:t>
            </w:r>
            <w:r>
              <w:rPr>
                <w:rFonts w:ascii="Arial" w:hAnsi="Arial" w:cs="Arial"/>
                <w:sz w:val="20"/>
                <w:szCs w:val="20"/>
              </w:rPr>
              <w:t xml:space="preserve"> in excess of the emission limit determined pursuant to paragraph (e)(2) of this section. Percent reduction requirements are not applicable to affected facilities under paragraphs (c</w:t>
            </w:r>
            <w:proofErr w:type="gramStart"/>
            <w:r>
              <w:rPr>
                <w:rFonts w:ascii="Arial" w:hAnsi="Arial" w:cs="Arial"/>
                <w:sz w:val="20"/>
                <w:szCs w:val="20"/>
              </w:rPr>
              <w:t>)(</w:t>
            </w:r>
            <w:proofErr w:type="gramEnd"/>
            <w:r>
              <w:rPr>
                <w:rFonts w:ascii="Arial" w:hAnsi="Arial" w:cs="Arial"/>
                <w:sz w:val="20"/>
                <w:szCs w:val="20"/>
              </w:rPr>
              <w:t>1), (2), (3), or (4).</w:t>
            </w:r>
          </w:p>
          <w:p w:rsidR="00A12ACD" w:rsidRDefault="00A12ACD" w:rsidP="00A12ACD">
            <w:pPr>
              <w:pStyle w:val="NormalWeb"/>
              <w:divId w:val="311909253"/>
              <w:rPr>
                <w:rFonts w:ascii="Arial" w:hAnsi="Arial" w:cs="Arial"/>
                <w:sz w:val="20"/>
                <w:szCs w:val="20"/>
              </w:rPr>
            </w:pPr>
            <w:r>
              <w:rPr>
                <w:rFonts w:ascii="Arial" w:hAnsi="Arial" w:cs="Arial"/>
                <w:sz w:val="20"/>
                <w:szCs w:val="20"/>
              </w:rPr>
              <w:t>(1) Affected facilities that have a heat input capacity of 22 MW (75 MMBtu/h) or less;</w:t>
            </w:r>
          </w:p>
          <w:p w:rsidR="00A12ACD" w:rsidRDefault="00A12ACD" w:rsidP="00A12ACD">
            <w:pPr>
              <w:pStyle w:val="NormalWeb"/>
              <w:divId w:val="311909253"/>
              <w:rPr>
                <w:rFonts w:ascii="Arial" w:hAnsi="Arial" w:cs="Arial"/>
                <w:sz w:val="20"/>
                <w:szCs w:val="20"/>
              </w:rPr>
            </w:pPr>
            <w:r>
              <w:rPr>
                <w:rFonts w:ascii="Arial" w:hAnsi="Arial" w:cs="Arial"/>
                <w:sz w:val="20"/>
                <w:szCs w:val="20"/>
              </w:rPr>
              <w:t>(2) Affected facilities that have an annual capacity for coal of 55 percent (0.55) or less and are subject to a federally enforceable requirement limiting operation of the affected facility to an annual capacity factor for coal of 55 percent (0.55) or less.</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(3) Affected facilities located in a </w:t>
            </w:r>
            <w:proofErr w:type="spellStart"/>
            <w:r>
              <w:rPr>
                <w:rFonts w:ascii="Arial" w:hAnsi="Arial" w:cs="Arial"/>
                <w:sz w:val="20"/>
                <w:szCs w:val="20"/>
              </w:rPr>
              <w:t>noncontinental</w:t>
            </w:r>
            <w:proofErr w:type="spellEnd"/>
            <w:r>
              <w:rPr>
                <w:rFonts w:ascii="Arial" w:hAnsi="Arial" w:cs="Arial"/>
                <w:sz w:val="20"/>
                <w:szCs w:val="20"/>
              </w:rPr>
              <w:t xml:space="preserve"> area; or</w:t>
            </w:r>
          </w:p>
          <w:p w:rsidR="00A12ACD" w:rsidRDefault="00A12ACD" w:rsidP="00A12ACD">
            <w:pPr>
              <w:pStyle w:val="NormalWeb"/>
              <w:divId w:val="311909253"/>
              <w:rPr>
                <w:rFonts w:ascii="Arial" w:hAnsi="Arial" w:cs="Arial"/>
                <w:sz w:val="20"/>
                <w:szCs w:val="20"/>
              </w:rPr>
            </w:pPr>
            <w:r>
              <w:rPr>
                <w:rFonts w:ascii="Arial" w:hAnsi="Arial" w:cs="Arial"/>
                <w:sz w:val="20"/>
                <w:szCs w:val="20"/>
              </w:rPr>
              <w:t>(4) Affected facilities that combust coal in a duct burner as part of a combined cycle system where 30 percent (0.30) or less of the heat entering the steam generating unit is from combustion of coal in the duct burner and 70 percent (0.70) or more of the heat entering the steam generating unit is from exhaust gases entering the duct burner.</w:t>
            </w:r>
          </w:p>
          <w:p w:rsidR="00A12ACD" w:rsidRDefault="00A12ACD" w:rsidP="00A12ACD">
            <w:pPr>
              <w:pStyle w:val="NormalWeb"/>
              <w:divId w:val="311909253"/>
              <w:rPr>
                <w:rFonts w:ascii="Arial" w:hAnsi="Arial" w:cs="Arial"/>
                <w:sz w:val="20"/>
                <w:szCs w:val="20"/>
              </w:rPr>
            </w:pPr>
            <w:r>
              <w:rPr>
                <w:rFonts w:ascii="Arial" w:hAnsi="Arial" w:cs="Arial"/>
                <w:sz w:val="20"/>
                <w:szCs w:val="20"/>
              </w:rPr>
              <w:t>(d) On and after the date on which the initial performance test is completed or required to be completed under § 60.8, whichever date comes first, no owner or operator of an affected facility that combusts oil shall cause to be discharged into the atmosphere from that affected facility any gases that contain SO</w:t>
            </w:r>
            <w:r>
              <w:rPr>
                <w:rFonts w:ascii="Arial" w:hAnsi="Arial" w:cs="Arial"/>
                <w:sz w:val="14"/>
                <w:szCs w:val="14"/>
                <w:vertAlign w:val="subscript"/>
              </w:rPr>
              <w:t>2</w:t>
            </w:r>
            <w:r>
              <w:rPr>
                <w:rFonts w:ascii="Arial" w:hAnsi="Arial" w:cs="Arial"/>
                <w:sz w:val="20"/>
                <w:szCs w:val="20"/>
              </w:rPr>
              <w:t xml:space="preserve"> in excess of 215 </w:t>
            </w:r>
            <w:proofErr w:type="spellStart"/>
            <w:r>
              <w:rPr>
                <w:rFonts w:ascii="Arial" w:hAnsi="Arial" w:cs="Arial"/>
                <w:sz w:val="20"/>
                <w:szCs w:val="20"/>
              </w:rPr>
              <w:t>ng</w:t>
            </w:r>
            <w:proofErr w:type="spellEnd"/>
            <w:r>
              <w:rPr>
                <w:rFonts w:ascii="Arial" w:hAnsi="Arial" w:cs="Arial"/>
                <w:sz w:val="20"/>
                <w:szCs w:val="20"/>
              </w:rPr>
              <w:t>/J (0.50 lb/MMBtu) heat input from oil; or, as an alternative, no owner or operator of an affected facility that combusts oil shall combust oil in the affected facility that contains greater than 0.5 weight percent sulfur. The percent reduction requirements are not applicable to affected facilities under this paragraph.</w:t>
            </w:r>
          </w:p>
          <w:p w:rsidR="00A12ACD" w:rsidRDefault="00A12ACD" w:rsidP="00A12ACD">
            <w:pPr>
              <w:pStyle w:val="NormalWeb"/>
              <w:divId w:val="311909253"/>
              <w:rPr>
                <w:rFonts w:ascii="Arial" w:hAnsi="Arial" w:cs="Arial"/>
                <w:sz w:val="20"/>
                <w:szCs w:val="20"/>
              </w:rPr>
            </w:pPr>
            <w:r>
              <w:rPr>
                <w:rFonts w:ascii="Arial" w:hAnsi="Arial" w:cs="Arial"/>
                <w:sz w:val="20"/>
                <w:szCs w:val="20"/>
              </w:rPr>
              <w:t>(e) On and after the date on which the initial performance test is completed or required to be completed under § 60.8, whichever date comes first, no owner or operator of an affected facility that combusts coal, oil, or coal and oil with any other fuel shall cause to be discharged into the atmosphere from that affected facility any gases that contain SO</w:t>
            </w:r>
            <w:r>
              <w:rPr>
                <w:rFonts w:ascii="Arial" w:hAnsi="Arial" w:cs="Arial"/>
                <w:sz w:val="14"/>
                <w:szCs w:val="14"/>
                <w:vertAlign w:val="subscript"/>
              </w:rPr>
              <w:t>2</w:t>
            </w:r>
            <w:r>
              <w:rPr>
                <w:rFonts w:ascii="Arial" w:hAnsi="Arial" w:cs="Arial"/>
                <w:sz w:val="20"/>
                <w:szCs w:val="20"/>
              </w:rPr>
              <w:t xml:space="preserve"> in excess of the following:</w:t>
            </w:r>
          </w:p>
          <w:p w:rsidR="00A12ACD" w:rsidRDefault="00A12ACD" w:rsidP="00A12ACD">
            <w:pPr>
              <w:pStyle w:val="NormalWeb"/>
              <w:divId w:val="311909253"/>
              <w:rPr>
                <w:rFonts w:ascii="Arial" w:hAnsi="Arial" w:cs="Arial"/>
                <w:sz w:val="20"/>
                <w:szCs w:val="20"/>
              </w:rPr>
            </w:pPr>
            <w:r>
              <w:rPr>
                <w:rFonts w:ascii="Arial" w:hAnsi="Arial" w:cs="Arial"/>
                <w:sz w:val="20"/>
                <w:szCs w:val="20"/>
              </w:rPr>
              <w:t>(1) The percent of potential SO</w:t>
            </w:r>
            <w:r>
              <w:rPr>
                <w:rFonts w:ascii="Arial" w:hAnsi="Arial" w:cs="Arial"/>
                <w:sz w:val="14"/>
                <w:szCs w:val="14"/>
                <w:vertAlign w:val="subscript"/>
              </w:rPr>
              <w:t>2</w:t>
            </w:r>
            <w:r>
              <w:rPr>
                <w:rFonts w:ascii="Arial" w:hAnsi="Arial" w:cs="Arial"/>
                <w:sz w:val="20"/>
                <w:szCs w:val="20"/>
              </w:rPr>
              <w:t xml:space="preserve"> emission rate or numerical SO</w:t>
            </w:r>
            <w:r>
              <w:rPr>
                <w:rFonts w:ascii="Arial" w:hAnsi="Arial" w:cs="Arial"/>
                <w:sz w:val="14"/>
                <w:szCs w:val="14"/>
                <w:vertAlign w:val="subscript"/>
              </w:rPr>
              <w:t>2</w:t>
            </w:r>
            <w:r>
              <w:rPr>
                <w:rFonts w:ascii="Arial" w:hAnsi="Arial" w:cs="Arial"/>
                <w:sz w:val="20"/>
                <w:szCs w:val="20"/>
              </w:rPr>
              <w:t xml:space="preserve"> emission rate required under paragraph (a) or (b)(2) of this section, as applicable, for any affected facility that</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Combusts coal in combination with any other fuel;</w:t>
            </w:r>
          </w:p>
          <w:p w:rsidR="00A12ACD" w:rsidRDefault="00A12ACD" w:rsidP="00A12ACD">
            <w:pPr>
              <w:pStyle w:val="NormalWeb"/>
              <w:divId w:val="311909253"/>
              <w:rPr>
                <w:rFonts w:ascii="Arial" w:hAnsi="Arial" w:cs="Arial"/>
                <w:sz w:val="20"/>
                <w:szCs w:val="20"/>
              </w:rPr>
            </w:pPr>
            <w:r>
              <w:rPr>
                <w:rFonts w:ascii="Arial" w:hAnsi="Arial" w:cs="Arial"/>
                <w:sz w:val="20"/>
                <w:szCs w:val="20"/>
              </w:rPr>
              <w:t>(ii) Has a heat input capacity greater than 22 MW (75 MMBtu/h); and</w:t>
            </w:r>
          </w:p>
          <w:p w:rsidR="00A12ACD" w:rsidRDefault="00A12ACD" w:rsidP="00A12ACD">
            <w:pPr>
              <w:pStyle w:val="NormalWeb"/>
              <w:divId w:val="311909253"/>
              <w:rPr>
                <w:rFonts w:ascii="Arial" w:hAnsi="Arial" w:cs="Arial"/>
                <w:sz w:val="20"/>
                <w:szCs w:val="20"/>
              </w:rPr>
            </w:pPr>
            <w:r>
              <w:rPr>
                <w:rFonts w:ascii="Arial" w:hAnsi="Arial" w:cs="Arial"/>
                <w:sz w:val="20"/>
                <w:szCs w:val="20"/>
              </w:rPr>
              <w:t>(iii) Has an annual capacity factor for coal greater than 55 percent (0.55); and</w:t>
            </w:r>
          </w:p>
          <w:p w:rsidR="00A12ACD" w:rsidRDefault="00A12ACD" w:rsidP="00A12ACD">
            <w:pPr>
              <w:pStyle w:val="NormalWeb"/>
              <w:divId w:val="311909253"/>
              <w:rPr>
                <w:rFonts w:ascii="Arial" w:hAnsi="Arial" w:cs="Arial"/>
                <w:sz w:val="20"/>
                <w:szCs w:val="20"/>
              </w:rPr>
            </w:pPr>
            <w:r>
              <w:rPr>
                <w:rFonts w:ascii="Arial" w:hAnsi="Arial" w:cs="Arial"/>
                <w:sz w:val="20"/>
                <w:szCs w:val="20"/>
              </w:rPr>
              <w:t>(2) The emission limit determined according to the following formula for any affected facility that combusts coal, oil, or coal and oil with any other fuel:</w:t>
            </w:r>
          </w:p>
          <w:p w:rsidR="00A12ACD" w:rsidRDefault="00A12ACD" w:rsidP="00A12ACD">
            <w:pPr>
              <w:divId w:val="311909253"/>
              <w:rPr>
                <w:rFonts w:ascii="Arial" w:eastAsia="Times New Roman" w:hAnsi="Arial" w:cs="Arial"/>
                <w:sz w:val="20"/>
                <w:szCs w:val="20"/>
              </w:rPr>
            </w:pPr>
            <w:r>
              <w:rPr>
                <w:rFonts w:ascii="Arial" w:eastAsia="Times New Roman" w:hAnsi="Arial" w:cs="Arial"/>
                <w:noProof/>
                <w:sz w:val="20"/>
                <w:szCs w:val="20"/>
              </w:rPr>
              <w:drawing>
                <wp:inline distT="0" distB="0" distL="0" distR="0">
                  <wp:extent cx="1543050" cy="400050"/>
                  <wp:effectExtent l="19050" t="0" r="0" b="0"/>
                  <wp:docPr id="34" name="Picture 14" descr="eCFR graphic er28ja09.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28ja09.005.gif"/>
                          <pic:cNvPicPr>
                            <a:picLocks noChangeAspect="1" noChangeArrowheads="1"/>
                          </pic:cNvPicPr>
                        </pic:nvPicPr>
                        <pic:blipFill>
                          <a:blip r:link="rId10" cstate="print"/>
                          <a:srcRect/>
                          <a:stretch>
                            <a:fillRect/>
                          </a:stretch>
                        </pic:blipFill>
                        <pic:spPr bwMode="auto">
                          <a:xfrm>
                            <a:off x="0" y="0"/>
                            <a:ext cx="1543050" cy="400050"/>
                          </a:xfrm>
                          <a:prstGeom prst="rect">
                            <a:avLst/>
                          </a:prstGeom>
                          <a:noFill/>
                          <a:ln w="9525">
                            <a:noFill/>
                            <a:miter lim="800000"/>
                            <a:headEnd/>
                            <a:tailEnd/>
                          </a:ln>
                        </pic:spPr>
                      </pic:pic>
                    </a:graphicData>
                  </a:graphic>
                </wp:inline>
              </w:drawing>
            </w:r>
          </w:p>
          <w:p w:rsidR="00A12ACD" w:rsidRDefault="00A12ACD" w:rsidP="00A12ACD">
            <w:pPr>
              <w:pStyle w:val="fp"/>
              <w:divId w:val="1484082975"/>
              <w:rPr>
                <w:rFonts w:ascii="Arial" w:hAnsi="Arial" w:cs="Arial"/>
                <w:sz w:val="18"/>
                <w:szCs w:val="18"/>
              </w:rPr>
            </w:pPr>
            <w:r>
              <w:rPr>
                <w:rFonts w:ascii="Arial" w:hAnsi="Arial" w:cs="Arial"/>
                <w:sz w:val="18"/>
                <w:szCs w:val="18"/>
              </w:rPr>
              <w:t>Where:</w:t>
            </w:r>
          </w:p>
          <w:p w:rsidR="00A12ACD" w:rsidRDefault="00A12ACD" w:rsidP="00A12ACD">
            <w:pPr>
              <w:pStyle w:val="fp-2"/>
              <w:divId w:val="1484082975"/>
              <w:rPr>
                <w:rFonts w:ascii="Arial" w:hAnsi="Arial" w:cs="Arial"/>
                <w:sz w:val="18"/>
                <w:szCs w:val="18"/>
              </w:rPr>
            </w:pPr>
            <w:r>
              <w:rPr>
                <w:rFonts w:ascii="Arial" w:hAnsi="Arial" w:cs="Arial"/>
                <w:sz w:val="18"/>
                <w:szCs w:val="18"/>
              </w:rPr>
              <w:t>E</w:t>
            </w:r>
            <w:r>
              <w:rPr>
                <w:rFonts w:ascii="Arial" w:hAnsi="Arial" w:cs="Arial"/>
                <w:sz w:val="13"/>
                <w:szCs w:val="13"/>
                <w:vertAlign w:val="subscript"/>
              </w:rPr>
              <w:t>s</w:t>
            </w:r>
            <w:r>
              <w:rPr>
                <w:rFonts w:ascii="Arial" w:hAnsi="Arial" w:cs="Arial"/>
                <w:sz w:val="18"/>
                <w:szCs w:val="18"/>
              </w:rPr>
              <w:t xml:space="preserve"> = SO</w:t>
            </w:r>
            <w:r>
              <w:rPr>
                <w:rFonts w:ascii="Arial" w:hAnsi="Arial" w:cs="Arial"/>
                <w:sz w:val="13"/>
                <w:szCs w:val="13"/>
                <w:vertAlign w:val="subscript"/>
              </w:rPr>
              <w:t>2</w:t>
            </w:r>
            <w:r>
              <w:rPr>
                <w:rFonts w:ascii="Arial" w:hAnsi="Arial" w:cs="Arial"/>
                <w:sz w:val="18"/>
                <w:szCs w:val="18"/>
              </w:rPr>
              <w:t xml:space="preserve"> emission limit, expressed in </w:t>
            </w:r>
            <w:proofErr w:type="spellStart"/>
            <w:r>
              <w:rPr>
                <w:rFonts w:ascii="Arial" w:hAnsi="Arial" w:cs="Arial"/>
                <w:sz w:val="18"/>
                <w:szCs w:val="18"/>
              </w:rPr>
              <w:t>ng</w:t>
            </w:r>
            <w:proofErr w:type="spellEnd"/>
            <w:r>
              <w:rPr>
                <w:rFonts w:ascii="Arial" w:hAnsi="Arial" w:cs="Arial"/>
                <w:sz w:val="18"/>
                <w:szCs w:val="18"/>
              </w:rPr>
              <w:t>/J or lb/MMBtu heat input;</w:t>
            </w:r>
          </w:p>
          <w:p w:rsidR="00A12ACD" w:rsidRDefault="00A12ACD" w:rsidP="00A12ACD">
            <w:pPr>
              <w:pStyle w:val="fp-2"/>
              <w:divId w:val="1484082975"/>
              <w:rPr>
                <w:rFonts w:ascii="Arial" w:hAnsi="Arial" w:cs="Arial"/>
                <w:sz w:val="18"/>
                <w:szCs w:val="18"/>
              </w:rPr>
            </w:pPr>
            <w:r>
              <w:rPr>
                <w:rFonts w:ascii="Arial" w:hAnsi="Arial" w:cs="Arial"/>
                <w:sz w:val="18"/>
                <w:szCs w:val="18"/>
              </w:rPr>
              <w:t>K</w:t>
            </w:r>
            <w:r>
              <w:rPr>
                <w:rFonts w:ascii="Arial" w:hAnsi="Arial" w:cs="Arial"/>
                <w:sz w:val="13"/>
                <w:szCs w:val="13"/>
                <w:vertAlign w:val="subscript"/>
              </w:rPr>
              <w:t>a</w:t>
            </w:r>
            <w:r>
              <w:rPr>
                <w:rFonts w:ascii="Arial" w:hAnsi="Arial" w:cs="Arial"/>
                <w:sz w:val="18"/>
                <w:szCs w:val="18"/>
              </w:rPr>
              <w:t xml:space="preserve"> = 520 </w:t>
            </w:r>
            <w:proofErr w:type="spellStart"/>
            <w:r>
              <w:rPr>
                <w:rFonts w:ascii="Arial" w:hAnsi="Arial" w:cs="Arial"/>
                <w:sz w:val="18"/>
                <w:szCs w:val="18"/>
              </w:rPr>
              <w:t>ng</w:t>
            </w:r>
            <w:proofErr w:type="spellEnd"/>
            <w:r>
              <w:rPr>
                <w:rFonts w:ascii="Arial" w:hAnsi="Arial" w:cs="Arial"/>
                <w:sz w:val="18"/>
                <w:szCs w:val="18"/>
              </w:rPr>
              <w:t>/J (1.2 lb/MMBtu);</w:t>
            </w:r>
          </w:p>
          <w:p w:rsidR="00A12ACD" w:rsidRDefault="00A12ACD" w:rsidP="00A12ACD">
            <w:pPr>
              <w:pStyle w:val="fp-2"/>
              <w:divId w:val="1484082975"/>
              <w:rPr>
                <w:rFonts w:ascii="Arial" w:hAnsi="Arial" w:cs="Arial"/>
                <w:sz w:val="18"/>
                <w:szCs w:val="18"/>
              </w:rPr>
            </w:pPr>
            <w:r>
              <w:rPr>
                <w:rFonts w:ascii="Arial" w:hAnsi="Arial" w:cs="Arial"/>
                <w:sz w:val="18"/>
                <w:szCs w:val="18"/>
              </w:rPr>
              <w:t>K</w:t>
            </w:r>
            <w:r>
              <w:rPr>
                <w:rFonts w:ascii="Arial" w:hAnsi="Arial" w:cs="Arial"/>
                <w:sz w:val="13"/>
                <w:szCs w:val="13"/>
                <w:vertAlign w:val="subscript"/>
              </w:rPr>
              <w:t>b</w:t>
            </w:r>
            <w:r>
              <w:rPr>
                <w:rFonts w:ascii="Arial" w:hAnsi="Arial" w:cs="Arial"/>
                <w:sz w:val="18"/>
                <w:szCs w:val="18"/>
              </w:rPr>
              <w:t xml:space="preserve"> = 260 </w:t>
            </w:r>
            <w:proofErr w:type="spellStart"/>
            <w:r>
              <w:rPr>
                <w:rFonts w:ascii="Arial" w:hAnsi="Arial" w:cs="Arial"/>
                <w:sz w:val="18"/>
                <w:szCs w:val="18"/>
              </w:rPr>
              <w:t>ng</w:t>
            </w:r>
            <w:proofErr w:type="spellEnd"/>
            <w:r>
              <w:rPr>
                <w:rFonts w:ascii="Arial" w:hAnsi="Arial" w:cs="Arial"/>
                <w:sz w:val="18"/>
                <w:szCs w:val="18"/>
              </w:rPr>
              <w:t>/J (0.60 lb/MMBtu);</w:t>
            </w:r>
          </w:p>
          <w:p w:rsidR="00A12ACD" w:rsidRDefault="00A12ACD" w:rsidP="00A12ACD">
            <w:pPr>
              <w:pStyle w:val="fp-2"/>
              <w:divId w:val="1484082975"/>
              <w:rPr>
                <w:rFonts w:ascii="Arial" w:hAnsi="Arial" w:cs="Arial"/>
                <w:sz w:val="18"/>
                <w:szCs w:val="18"/>
              </w:rPr>
            </w:pPr>
            <w:proofErr w:type="spellStart"/>
            <w:r>
              <w:rPr>
                <w:rFonts w:ascii="Arial" w:hAnsi="Arial" w:cs="Arial"/>
                <w:sz w:val="18"/>
                <w:szCs w:val="18"/>
              </w:rPr>
              <w:t>K</w:t>
            </w:r>
            <w:r>
              <w:rPr>
                <w:rFonts w:ascii="Arial" w:hAnsi="Arial" w:cs="Arial"/>
                <w:sz w:val="13"/>
                <w:szCs w:val="13"/>
                <w:vertAlign w:val="subscript"/>
              </w:rPr>
              <w:t>c</w:t>
            </w:r>
            <w:proofErr w:type="spellEnd"/>
            <w:r>
              <w:rPr>
                <w:rFonts w:ascii="Arial" w:hAnsi="Arial" w:cs="Arial"/>
                <w:sz w:val="18"/>
                <w:szCs w:val="18"/>
              </w:rPr>
              <w:t xml:space="preserve"> = 215 </w:t>
            </w:r>
            <w:proofErr w:type="spellStart"/>
            <w:r>
              <w:rPr>
                <w:rFonts w:ascii="Arial" w:hAnsi="Arial" w:cs="Arial"/>
                <w:sz w:val="18"/>
                <w:szCs w:val="18"/>
              </w:rPr>
              <w:t>ng</w:t>
            </w:r>
            <w:proofErr w:type="spellEnd"/>
            <w:r>
              <w:rPr>
                <w:rFonts w:ascii="Arial" w:hAnsi="Arial" w:cs="Arial"/>
                <w:sz w:val="18"/>
                <w:szCs w:val="18"/>
              </w:rPr>
              <w:t>/J (0.50 lb/MMBtu);</w:t>
            </w:r>
          </w:p>
          <w:p w:rsidR="00A12ACD" w:rsidRDefault="00A12ACD" w:rsidP="00A12ACD">
            <w:pPr>
              <w:pStyle w:val="fp-2"/>
              <w:divId w:val="1484082975"/>
              <w:rPr>
                <w:rFonts w:ascii="Arial" w:hAnsi="Arial" w:cs="Arial"/>
                <w:sz w:val="18"/>
                <w:szCs w:val="18"/>
              </w:rPr>
            </w:pPr>
            <w:r>
              <w:rPr>
                <w:rFonts w:ascii="Arial" w:hAnsi="Arial" w:cs="Arial"/>
                <w:sz w:val="18"/>
                <w:szCs w:val="18"/>
              </w:rPr>
              <w:t>H</w:t>
            </w:r>
            <w:r>
              <w:rPr>
                <w:rFonts w:ascii="Arial" w:hAnsi="Arial" w:cs="Arial"/>
                <w:sz w:val="13"/>
                <w:szCs w:val="13"/>
                <w:vertAlign w:val="subscript"/>
              </w:rPr>
              <w:t>a</w:t>
            </w:r>
            <w:r>
              <w:rPr>
                <w:rFonts w:ascii="Arial" w:hAnsi="Arial" w:cs="Arial"/>
                <w:sz w:val="18"/>
                <w:szCs w:val="18"/>
              </w:rPr>
              <w:t xml:space="preserve"> = Heat input from the combustion of coal, except coal combusted in an affected facility subject to paragraph (b)(2) of this section, in Joules (J) [MMBtu];</w:t>
            </w:r>
          </w:p>
          <w:p w:rsidR="00A12ACD" w:rsidRDefault="00A12ACD" w:rsidP="00A12ACD">
            <w:pPr>
              <w:pStyle w:val="fp-2"/>
              <w:divId w:val="1484082975"/>
              <w:rPr>
                <w:rFonts w:ascii="Arial" w:hAnsi="Arial" w:cs="Arial"/>
                <w:sz w:val="18"/>
                <w:szCs w:val="18"/>
              </w:rPr>
            </w:pPr>
            <w:proofErr w:type="spellStart"/>
            <w:r>
              <w:rPr>
                <w:rFonts w:ascii="Arial" w:hAnsi="Arial" w:cs="Arial"/>
                <w:sz w:val="18"/>
                <w:szCs w:val="18"/>
              </w:rPr>
              <w:t>H</w:t>
            </w:r>
            <w:r>
              <w:rPr>
                <w:rFonts w:ascii="Arial" w:hAnsi="Arial" w:cs="Arial"/>
                <w:sz w:val="13"/>
                <w:szCs w:val="13"/>
                <w:vertAlign w:val="subscript"/>
              </w:rPr>
              <w:t>b</w:t>
            </w:r>
            <w:proofErr w:type="spellEnd"/>
            <w:r>
              <w:rPr>
                <w:rFonts w:ascii="Arial" w:hAnsi="Arial" w:cs="Arial"/>
                <w:sz w:val="18"/>
                <w:szCs w:val="18"/>
              </w:rPr>
              <w:t xml:space="preserve"> = Heat input from the combustion of coal in an affected facility subject to paragraph (b)(2) of this section, in J (MMBtu); and</w:t>
            </w:r>
          </w:p>
          <w:p w:rsidR="00A12ACD" w:rsidRDefault="00A12ACD" w:rsidP="00A12ACD">
            <w:pPr>
              <w:pStyle w:val="fp-2"/>
              <w:divId w:val="1484082975"/>
              <w:rPr>
                <w:rFonts w:ascii="Arial" w:hAnsi="Arial" w:cs="Arial"/>
                <w:sz w:val="18"/>
                <w:szCs w:val="18"/>
              </w:rPr>
            </w:pPr>
            <w:proofErr w:type="spellStart"/>
            <w:r>
              <w:rPr>
                <w:rFonts w:ascii="Arial" w:hAnsi="Arial" w:cs="Arial"/>
                <w:sz w:val="18"/>
                <w:szCs w:val="18"/>
              </w:rPr>
              <w:t>H</w:t>
            </w:r>
            <w:r>
              <w:rPr>
                <w:rFonts w:ascii="Arial" w:hAnsi="Arial" w:cs="Arial"/>
                <w:sz w:val="13"/>
                <w:szCs w:val="13"/>
                <w:vertAlign w:val="subscript"/>
              </w:rPr>
              <w:t>c</w:t>
            </w:r>
            <w:proofErr w:type="spellEnd"/>
            <w:r>
              <w:rPr>
                <w:rFonts w:ascii="Arial" w:hAnsi="Arial" w:cs="Arial"/>
                <w:sz w:val="18"/>
                <w:szCs w:val="18"/>
              </w:rPr>
              <w:t xml:space="preserve"> = Heat input from the combustion of oil, in J (MMBtu).</w:t>
            </w:r>
          </w:p>
          <w:p w:rsidR="00A12ACD" w:rsidRDefault="00A12ACD" w:rsidP="00A12ACD">
            <w:pPr>
              <w:pStyle w:val="NormalWeb"/>
              <w:divId w:val="311909253"/>
              <w:rPr>
                <w:rFonts w:ascii="Arial" w:hAnsi="Arial" w:cs="Arial"/>
                <w:sz w:val="20"/>
                <w:szCs w:val="20"/>
              </w:rPr>
            </w:pPr>
            <w:r>
              <w:rPr>
                <w:rFonts w:ascii="Arial" w:hAnsi="Arial" w:cs="Arial"/>
                <w:sz w:val="20"/>
                <w:szCs w:val="20"/>
              </w:rPr>
              <w:t>(f) Reduction in the potential SO</w:t>
            </w:r>
            <w:r>
              <w:rPr>
                <w:rFonts w:ascii="Arial" w:hAnsi="Arial" w:cs="Arial"/>
                <w:sz w:val="14"/>
                <w:szCs w:val="14"/>
                <w:vertAlign w:val="subscript"/>
              </w:rPr>
              <w:t>2</w:t>
            </w:r>
            <w:r>
              <w:rPr>
                <w:rFonts w:ascii="Arial" w:hAnsi="Arial" w:cs="Arial"/>
                <w:sz w:val="20"/>
                <w:szCs w:val="20"/>
              </w:rPr>
              <w:t xml:space="preserve"> emission rate through fuel pretreatment is not credited toward the percent reduction requirement under paragraph (b)(2) of this section unless:</w:t>
            </w:r>
          </w:p>
          <w:p w:rsidR="00A12ACD" w:rsidRDefault="00A12ACD" w:rsidP="00A12ACD">
            <w:pPr>
              <w:pStyle w:val="NormalWeb"/>
              <w:divId w:val="311909253"/>
              <w:rPr>
                <w:rFonts w:ascii="Arial" w:hAnsi="Arial" w:cs="Arial"/>
                <w:sz w:val="20"/>
                <w:szCs w:val="20"/>
              </w:rPr>
            </w:pPr>
            <w:r>
              <w:rPr>
                <w:rFonts w:ascii="Arial" w:hAnsi="Arial" w:cs="Arial"/>
                <w:sz w:val="20"/>
                <w:szCs w:val="20"/>
              </w:rPr>
              <w:t>(1) Fuel pretreatment results in a 50 percent (0.50) or greater reduction in the potential SO</w:t>
            </w:r>
            <w:r>
              <w:rPr>
                <w:rFonts w:ascii="Arial" w:hAnsi="Arial" w:cs="Arial"/>
                <w:sz w:val="14"/>
                <w:szCs w:val="14"/>
                <w:vertAlign w:val="subscript"/>
              </w:rPr>
              <w:t>2</w:t>
            </w:r>
            <w:r>
              <w:rPr>
                <w:rFonts w:ascii="Arial" w:hAnsi="Arial" w:cs="Arial"/>
                <w:sz w:val="20"/>
                <w:szCs w:val="20"/>
              </w:rPr>
              <w:t xml:space="preserve"> emission rate; and</w:t>
            </w:r>
          </w:p>
          <w:p w:rsidR="00A12ACD" w:rsidRDefault="00A12ACD" w:rsidP="00A12ACD">
            <w:pPr>
              <w:pStyle w:val="NormalWeb"/>
              <w:divId w:val="311909253"/>
              <w:rPr>
                <w:rFonts w:ascii="Arial" w:hAnsi="Arial" w:cs="Arial"/>
                <w:sz w:val="20"/>
                <w:szCs w:val="20"/>
              </w:rPr>
            </w:pPr>
            <w:r>
              <w:rPr>
                <w:rFonts w:ascii="Arial" w:hAnsi="Arial" w:cs="Arial"/>
                <w:sz w:val="20"/>
                <w:szCs w:val="20"/>
              </w:rPr>
              <w:t>(2) Emissions from the pretreated fuel (without either combustion or post-combustion SO</w:t>
            </w:r>
            <w:r>
              <w:rPr>
                <w:rFonts w:ascii="Arial" w:hAnsi="Arial" w:cs="Arial"/>
                <w:sz w:val="14"/>
                <w:szCs w:val="14"/>
                <w:vertAlign w:val="subscript"/>
              </w:rPr>
              <w:t>2</w:t>
            </w:r>
            <w:r>
              <w:rPr>
                <w:rFonts w:ascii="Arial" w:hAnsi="Arial" w:cs="Arial"/>
                <w:sz w:val="20"/>
                <w:szCs w:val="20"/>
              </w:rPr>
              <w:t xml:space="preserve"> control) are equal to or less than the emission limits specified under paragraph (b</w:t>
            </w:r>
            <w:proofErr w:type="gramStart"/>
            <w:r>
              <w:rPr>
                <w:rFonts w:ascii="Arial" w:hAnsi="Arial" w:cs="Arial"/>
                <w:sz w:val="20"/>
                <w:szCs w:val="20"/>
              </w:rPr>
              <w:t>)(</w:t>
            </w:r>
            <w:proofErr w:type="gramEnd"/>
            <w:r>
              <w:rPr>
                <w:rFonts w:ascii="Arial" w:hAnsi="Arial" w:cs="Arial"/>
                <w:sz w:val="20"/>
                <w:szCs w:val="20"/>
              </w:rPr>
              <w:t>2) of this section.</w:t>
            </w:r>
          </w:p>
          <w:p w:rsidR="00A12ACD" w:rsidRDefault="00A12ACD" w:rsidP="00A12ACD">
            <w:pPr>
              <w:pStyle w:val="NormalWeb"/>
              <w:divId w:val="311909253"/>
              <w:rPr>
                <w:rFonts w:ascii="Arial" w:hAnsi="Arial" w:cs="Arial"/>
                <w:sz w:val="20"/>
                <w:szCs w:val="20"/>
              </w:rPr>
            </w:pPr>
            <w:r>
              <w:rPr>
                <w:rFonts w:ascii="Arial" w:hAnsi="Arial" w:cs="Arial"/>
                <w:sz w:val="20"/>
                <w:szCs w:val="20"/>
              </w:rPr>
              <w:t>(g) Except as provided in paragraph (h) of this section, compliance with the percent reduction requirements, fuel oil sulfur limits, and emission limits of this section shall be determined on a 30-day rolling average basis.</w:t>
            </w:r>
          </w:p>
          <w:p w:rsidR="00A12ACD" w:rsidRDefault="00A12ACD" w:rsidP="00A12ACD">
            <w:pPr>
              <w:pStyle w:val="NormalWeb"/>
              <w:divId w:val="311909253"/>
              <w:rPr>
                <w:rFonts w:ascii="Arial" w:hAnsi="Arial" w:cs="Arial"/>
                <w:sz w:val="20"/>
                <w:szCs w:val="20"/>
              </w:rPr>
            </w:pPr>
            <w:r>
              <w:rPr>
                <w:rFonts w:ascii="Arial" w:hAnsi="Arial" w:cs="Arial"/>
                <w:sz w:val="20"/>
                <w:szCs w:val="20"/>
              </w:rPr>
              <w:t>(h) For affected facilities listed under paragraphs (h)(1), (2), (3), or (4) of this section, compliance with the emission limits or fuel oil sulfur limits under this section may be determined based on a certification from the fuel supplier, as described under § 60.48c(f), as applicable.</w:t>
            </w:r>
          </w:p>
          <w:p w:rsidR="00A12ACD" w:rsidRDefault="00A12ACD" w:rsidP="00A12ACD">
            <w:pPr>
              <w:pStyle w:val="NormalWeb"/>
              <w:divId w:val="311909253"/>
              <w:rPr>
                <w:rFonts w:ascii="Arial" w:hAnsi="Arial" w:cs="Arial"/>
                <w:sz w:val="20"/>
                <w:szCs w:val="20"/>
              </w:rPr>
            </w:pPr>
            <w:r>
              <w:rPr>
                <w:rFonts w:ascii="Arial" w:hAnsi="Arial" w:cs="Arial"/>
                <w:sz w:val="20"/>
                <w:szCs w:val="20"/>
              </w:rPr>
              <w:t>(1) Distillate oil-fired affected facilities with heat input capacities between 2.9 and 29 MW (10 and 100 MMBtu/hr).</w:t>
            </w:r>
          </w:p>
          <w:p w:rsidR="00A12ACD" w:rsidRDefault="00A12ACD" w:rsidP="00A12ACD">
            <w:pPr>
              <w:pStyle w:val="NormalWeb"/>
              <w:divId w:val="311909253"/>
              <w:rPr>
                <w:rFonts w:ascii="Arial" w:hAnsi="Arial" w:cs="Arial"/>
                <w:sz w:val="20"/>
                <w:szCs w:val="20"/>
              </w:rPr>
            </w:pPr>
            <w:r>
              <w:rPr>
                <w:rFonts w:ascii="Arial" w:hAnsi="Arial" w:cs="Arial"/>
                <w:sz w:val="20"/>
                <w:szCs w:val="20"/>
              </w:rPr>
              <w:t>(2) Residual oil-fired affected facilities with heat input capacities between 2.9 and 8.7 MW (10 and 30 MMBtu/hr).</w:t>
            </w:r>
          </w:p>
          <w:p w:rsidR="00A12ACD" w:rsidRDefault="00A12ACD" w:rsidP="00A12ACD">
            <w:pPr>
              <w:pStyle w:val="NormalWeb"/>
              <w:divId w:val="311909253"/>
              <w:rPr>
                <w:rFonts w:ascii="Arial" w:hAnsi="Arial" w:cs="Arial"/>
                <w:sz w:val="20"/>
                <w:szCs w:val="20"/>
              </w:rPr>
            </w:pPr>
            <w:r>
              <w:rPr>
                <w:rFonts w:ascii="Arial" w:hAnsi="Arial" w:cs="Arial"/>
                <w:sz w:val="20"/>
                <w:szCs w:val="20"/>
              </w:rPr>
              <w:t>(3) Coal-fired affected facilities with heat input capacities between 2.9 and 8.7 MW (10 and 30 MMBtu/h).</w:t>
            </w:r>
          </w:p>
          <w:p w:rsidR="00A12ACD" w:rsidRDefault="00A12ACD" w:rsidP="00A12ACD">
            <w:pPr>
              <w:pStyle w:val="NormalWeb"/>
              <w:divId w:val="311909253"/>
              <w:rPr>
                <w:rFonts w:ascii="Arial" w:hAnsi="Arial" w:cs="Arial"/>
                <w:sz w:val="20"/>
                <w:szCs w:val="20"/>
              </w:rPr>
            </w:pPr>
            <w:r>
              <w:rPr>
                <w:rFonts w:ascii="Arial" w:hAnsi="Arial" w:cs="Arial"/>
                <w:sz w:val="20"/>
                <w:szCs w:val="20"/>
              </w:rPr>
              <w:t>(4) Other fuels-fired affected facilities with heat input capacities between 2.9 and 8.7 MW (10 and 30 MMBtu/h).</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SO</w:t>
            </w:r>
            <w:r>
              <w:rPr>
                <w:rFonts w:ascii="Arial" w:hAnsi="Arial" w:cs="Arial"/>
                <w:sz w:val="14"/>
                <w:szCs w:val="14"/>
                <w:vertAlign w:val="subscript"/>
              </w:rPr>
              <w:t>2</w:t>
            </w:r>
            <w:r>
              <w:rPr>
                <w:rFonts w:ascii="Arial" w:hAnsi="Arial" w:cs="Arial"/>
                <w:sz w:val="20"/>
                <w:szCs w:val="20"/>
              </w:rPr>
              <w:t xml:space="preserve"> emission limits, fuel oil sulfur limits, and percent reduction requirements under this section apply at all times, including periods of startup, shutdown, and malfunction.</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(j) For affected facilities located in </w:t>
            </w:r>
            <w:proofErr w:type="spellStart"/>
            <w:r>
              <w:rPr>
                <w:rFonts w:ascii="Arial" w:hAnsi="Arial" w:cs="Arial"/>
                <w:sz w:val="20"/>
                <w:szCs w:val="20"/>
              </w:rPr>
              <w:t>noncontinental</w:t>
            </w:r>
            <w:proofErr w:type="spellEnd"/>
            <w:r>
              <w:rPr>
                <w:rFonts w:ascii="Arial" w:hAnsi="Arial" w:cs="Arial"/>
                <w:sz w:val="20"/>
                <w:szCs w:val="20"/>
              </w:rPr>
              <w:t xml:space="preserve"> areas and affected facilities complying with the percent reduction standard, only the heat input supplied to the affected facility from the combustion of coal and oil is counted under this section. No credit is provided for the heat input to the affected facility from wood or other fuels or for heat derived from exhaust gases from other sources, such as stationary gas turbines, internal combustion engines, and kilns.</w:t>
            </w:r>
          </w:p>
          <w:p w:rsidR="00A12ACD" w:rsidRDefault="00A12ACD" w:rsidP="00A12ACD">
            <w:pPr>
              <w:pStyle w:val="cita"/>
              <w:divId w:val="311909253"/>
              <w:rPr>
                <w:rFonts w:ascii="Arial" w:hAnsi="Arial" w:cs="Arial"/>
              </w:rPr>
            </w:pPr>
            <w:r>
              <w:rPr>
                <w:rFonts w:ascii="Arial" w:hAnsi="Arial" w:cs="Arial"/>
              </w:rPr>
              <w:t>[72 FR 32759, June 13, 2007, as amended at 74 FR 5090, Jan. 28, 2009; 77 FR 9462, Feb. 16, 2012]</w:t>
            </w:r>
          </w:p>
          <w:p w:rsidR="00A12ACD" w:rsidRDefault="00A12ACD" w:rsidP="00A12ACD">
            <w:pPr>
              <w:pStyle w:val="fp"/>
              <w:divId w:val="75825456"/>
              <w:rPr>
                <w:rFonts w:ascii="Arial" w:hAnsi="Arial" w:cs="Arial"/>
                <w:sz w:val="20"/>
                <w:szCs w:val="20"/>
              </w:rPr>
            </w:pPr>
            <w:hyperlink w:anchor="_top" w:history="1">
              <w:r>
                <w:rPr>
                  <w:rFonts w:ascii="Arial" w:hAnsi="Arial" w:cs="Arial"/>
                  <w:noProof/>
                  <w:color w:val="0000FF"/>
                  <w:sz w:val="17"/>
                  <w:szCs w:val="17"/>
                </w:rPr>
                <w:drawing>
                  <wp:inline distT="0" distB="0" distL="0" distR="0">
                    <wp:extent cx="152400" cy="152400"/>
                    <wp:effectExtent l="0" t="0" r="0" b="0"/>
                    <wp:docPr id="35" name="Picture 15" descr="return arrow">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12"/>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Style w:val="Hyperlink"/>
                </w:rPr>
                <w:t>Back to Top</w:t>
              </w:r>
            </w:hyperlink>
          </w:p>
          <w:p w:rsidR="00A12ACD" w:rsidRDefault="00A12ACD" w:rsidP="00A12ACD">
            <w:pPr>
              <w:pStyle w:val="Heading2"/>
              <w:jc w:val="left"/>
              <w:divId w:val="311909253"/>
              <w:rPr>
                <w:rFonts w:ascii="Arial" w:eastAsia="Times New Roman" w:hAnsi="Arial" w:cs="Arial"/>
              </w:rPr>
            </w:pPr>
            <w:bookmarkStart w:id="4" w:name="40:7.0.1.1.1.12.151.4"/>
            <w:bookmarkEnd w:id="4"/>
            <w:proofErr w:type="gramStart"/>
            <w:r>
              <w:rPr>
                <w:rFonts w:ascii="Arial" w:eastAsia="Times New Roman" w:hAnsi="Arial" w:cs="Arial"/>
              </w:rPr>
              <w:t>§ 60.43c   Standard for particulate matter (PM).</w:t>
            </w:r>
            <w:proofErr w:type="gramEnd"/>
          </w:p>
          <w:p w:rsidR="00A12ACD" w:rsidRDefault="00A12ACD" w:rsidP="00A12ACD">
            <w:pPr>
              <w:pStyle w:val="NormalWeb"/>
              <w:divId w:val="311909253"/>
              <w:rPr>
                <w:rFonts w:ascii="Arial" w:hAnsi="Arial" w:cs="Arial"/>
                <w:sz w:val="20"/>
                <w:szCs w:val="20"/>
              </w:rPr>
            </w:pPr>
            <w:r>
              <w:rPr>
                <w:rFonts w:ascii="Arial" w:hAnsi="Arial" w:cs="Arial"/>
                <w:sz w:val="20"/>
                <w:szCs w:val="20"/>
              </w:rPr>
              <w:t>(a) On and after the date on which the initial performance test is completed or required to be completed under § 60.8, whichever date comes first, no owner or operator of an affected facility that commenced construction, reconstruction, or modification on or before February 28, 2005, that combusts coal or combusts mixtures of coal with other fuels and has a heat input capacity of 8.7 MW (30 MMBtu/h) or greater, shall cause to be discharged into the atmosphere from that affected facility any gases that contain PM in excess of the following emission limits:</w:t>
            </w:r>
          </w:p>
          <w:p w:rsidR="00A12ACD" w:rsidRDefault="00A12ACD" w:rsidP="00A12ACD">
            <w:pPr>
              <w:pStyle w:val="NormalWeb"/>
              <w:divId w:val="311909253"/>
              <w:rPr>
                <w:rFonts w:ascii="Arial" w:hAnsi="Arial" w:cs="Arial"/>
                <w:sz w:val="20"/>
                <w:szCs w:val="20"/>
              </w:rPr>
            </w:pPr>
            <w:proofErr w:type="gramStart"/>
            <w:r>
              <w:rPr>
                <w:rFonts w:ascii="Arial" w:hAnsi="Arial" w:cs="Arial"/>
                <w:sz w:val="20"/>
                <w:szCs w:val="20"/>
              </w:rPr>
              <w:t xml:space="preserve">(1) 22 </w:t>
            </w:r>
            <w:proofErr w:type="spellStart"/>
            <w:r>
              <w:rPr>
                <w:rFonts w:ascii="Arial" w:hAnsi="Arial" w:cs="Arial"/>
                <w:sz w:val="20"/>
                <w:szCs w:val="20"/>
              </w:rPr>
              <w:t>ng</w:t>
            </w:r>
            <w:proofErr w:type="spellEnd"/>
            <w:r>
              <w:rPr>
                <w:rFonts w:ascii="Arial" w:hAnsi="Arial" w:cs="Arial"/>
                <w:sz w:val="20"/>
                <w:szCs w:val="20"/>
              </w:rPr>
              <w:t>/J (0.051 lb/MMBtu) heat input if the affected facility combusts only coal, or combusts</w:t>
            </w:r>
            <w:proofErr w:type="gramEnd"/>
            <w:r>
              <w:rPr>
                <w:rFonts w:ascii="Arial" w:hAnsi="Arial" w:cs="Arial"/>
                <w:sz w:val="20"/>
                <w:szCs w:val="20"/>
              </w:rPr>
              <w:t xml:space="preserve"> coal with other fuels and has an annual capacity factor for the other fuels of 10 percent (0.10) or less.</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(2) 43 </w:t>
            </w:r>
            <w:proofErr w:type="spellStart"/>
            <w:r>
              <w:rPr>
                <w:rFonts w:ascii="Arial" w:hAnsi="Arial" w:cs="Arial"/>
                <w:sz w:val="20"/>
                <w:szCs w:val="20"/>
              </w:rPr>
              <w:t>ng</w:t>
            </w:r>
            <w:proofErr w:type="spellEnd"/>
            <w:r>
              <w:rPr>
                <w:rFonts w:ascii="Arial" w:hAnsi="Arial" w:cs="Arial"/>
                <w:sz w:val="20"/>
                <w:szCs w:val="20"/>
              </w:rPr>
              <w:t>/J (0.10 lb/MMBtu) heat input if the affected facility combusts coal with other fuels, has an annual capacity factor for the other fuels greater than 10 percent (0.10), and is subject to a federally enforceable requirement limiting operation of the affected facility to an annual capacity factor greater than 10 percent (0.10) for fuels other than coal.</w:t>
            </w:r>
          </w:p>
          <w:p w:rsidR="00A12ACD" w:rsidRDefault="00A12ACD" w:rsidP="00A12ACD">
            <w:pPr>
              <w:pStyle w:val="NormalWeb"/>
              <w:divId w:val="311909253"/>
              <w:rPr>
                <w:rFonts w:ascii="Arial" w:hAnsi="Arial" w:cs="Arial"/>
                <w:sz w:val="20"/>
                <w:szCs w:val="20"/>
              </w:rPr>
            </w:pPr>
            <w:r>
              <w:rPr>
                <w:rFonts w:ascii="Arial" w:hAnsi="Arial" w:cs="Arial"/>
                <w:sz w:val="20"/>
                <w:szCs w:val="20"/>
              </w:rPr>
              <w:t>(b) On and after the date on which the initial performance test is completed or required to be completed under § 60.8, whichever date comes first, no owner or operator of an affected facility that commenced construction, reconstruction, or modification on or before February 28, 2005, that combusts wood or combusts mixtures of wood with other fuels (except coal) and has a heat input capacity of 8.7 MW (30 MMBtu/h) or greater, shall cause to be discharged into the atmosphere from that affected facility any gases that contain PM in excess of the following emissions limits:</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(1) 43 </w:t>
            </w:r>
            <w:proofErr w:type="spellStart"/>
            <w:r>
              <w:rPr>
                <w:rFonts w:ascii="Arial" w:hAnsi="Arial" w:cs="Arial"/>
                <w:sz w:val="20"/>
                <w:szCs w:val="20"/>
              </w:rPr>
              <w:t>ng</w:t>
            </w:r>
            <w:proofErr w:type="spellEnd"/>
            <w:r>
              <w:rPr>
                <w:rFonts w:ascii="Arial" w:hAnsi="Arial" w:cs="Arial"/>
                <w:sz w:val="20"/>
                <w:szCs w:val="20"/>
              </w:rPr>
              <w:t>/J (0.10 lb/MMBtu) heat input if the affected facility has an annual capacity factor for wood greater than 30 percent (0.30); or</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(2) 130 </w:t>
            </w:r>
            <w:proofErr w:type="spellStart"/>
            <w:r>
              <w:rPr>
                <w:rFonts w:ascii="Arial" w:hAnsi="Arial" w:cs="Arial"/>
                <w:sz w:val="20"/>
                <w:szCs w:val="20"/>
              </w:rPr>
              <w:t>ng</w:t>
            </w:r>
            <w:proofErr w:type="spellEnd"/>
            <w:r>
              <w:rPr>
                <w:rFonts w:ascii="Arial" w:hAnsi="Arial" w:cs="Arial"/>
                <w:sz w:val="20"/>
                <w:szCs w:val="20"/>
              </w:rPr>
              <w:t>/J (0.30 lb/MMBtu) heat input if the affected facility has an annual capacity factor for wood of 30 percent (0.30) or less and is subject to a federally enforceable requirement limiting operation of the affected facility to an annual capacity factor for wood of 30 percent (0.30) or less.</w:t>
            </w:r>
          </w:p>
          <w:p w:rsidR="00A12ACD" w:rsidRDefault="00A12ACD" w:rsidP="00A12ACD">
            <w:pPr>
              <w:pStyle w:val="NormalWeb"/>
              <w:divId w:val="311909253"/>
              <w:rPr>
                <w:rFonts w:ascii="Arial" w:hAnsi="Arial" w:cs="Arial"/>
                <w:sz w:val="20"/>
                <w:szCs w:val="20"/>
              </w:rPr>
            </w:pPr>
            <w:r>
              <w:rPr>
                <w:rFonts w:ascii="Arial" w:hAnsi="Arial" w:cs="Arial"/>
                <w:sz w:val="20"/>
                <w:szCs w:val="20"/>
              </w:rPr>
              <w:t>(c) On and after the date on which the initial performance test is completed or required to be completed under § 60.8, whichever date comes first, no owner or operator of an affected facility that combusts coal, wood, or oil and has a heat input capacity of 8.7 MW (30 MMBtu/h) or greater shall cause to be discharged into the atmosphere from that affected facility any gases that exhibit greater than 20 percent opacity (6-minute average), except for one 6-minute period per hour of not more than 27 percent opacity. Owners and operators of an affected facility that elect to install, calibrate, maintain, and operate a continuous emissions monitoring system (CEMS) for measuring PM emissions according to the requirements of this subpart and are subject to a federally enforceable PM limit of 0.030 lb/MMBtu or less are exempt from the opacity standard specified in this paragraph (c).</w:t>
            </w:r>
          </w:p>
          <w:p w:rsidR="00A12ACD" w:rsidRDefault="00A12ACD" w:rsidP="00A12ACD">
            <w:pPr>
              <w:pStyle w:val="NormalWeb"/>
              <w:divId w:val="311909253"/>
              <w:rPr>
                <w:rFonts w:ascii="Arial" w:hAnsi="Arial" w:cs="Arial"/>
                <w:sz w:val="20"/>
                <w:szCs w:val="20"/>
              </w:rPr>
            </w:pPr>
            <w:r>
              <w:rPr>
                <w:rFonts w:ascii="Arial" w:hAnsi="Arial" w:cs="Arial"/>
                <w:sz w:val="20"/>
                <w:szCs w:val="20"/>
              </w:rPr>
              <w:t>(d) The PM and opacity standards under this section apply at all times, except during periods of startup, shutdown, or malfunction.</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(e)(1) On and after the date on which the initial performance test is completed or is required to be completed under § 60.8, whichever date comes first, no owner or operator of an affected facility that commences construction, reconstruction, or modification after February 28, 2005, and that combusts coal, oil, wood, a mixture of these fuels, or a mixture of these fuels with any other fuels and has a heat input capacity of 8.7 MW (30 MMBtu/h) or greater shall cause to be discharged into the atmosphere from that affected facility any gases that contain PM in excess of 13 </w:t>
            </w:r>
            <w:proofErr w:type="spellStart"/>
            <w:r>
              <w:rPr>
                <w:rFonts w:ascii="Arial" w:hAnsi="Arial" w:cs="Arial"/>
                <w:sz w:val="20"/>
                <w:szCs w:val="20"/>
              </w:rPr>
              <w:t>ng</w:t>
            </w:r>
            <w:proofErr w:type="spellEnd"/>
            <w:r>
              <w:rPr>
                <w:rFonts w:ascii="Arial" w:hAnsi="Arial" w:cs="Arial"/>
                <w:sz w:val="20"/>
                <w:szCs w:val="20"/>
              </w:rPr>
              <w:t>/J (0.030 lb/MMBtu) heat input, except as provided in paragraphs (e)(2), (e)(3), and (e)(4) of this section.</w:t>
            </w:r>
          </w:p>
          <w:p w:rsidR="00A12ACD" w:rsidRDefault="00A12ACD" w:rsidP="00A12ACD">
            <w:pPr>
              <w:pStyle w:val="NormalWeb"/>
              <w:divId w:val="311909253"/>
              <w:rPr>
                <w:rFonts w:ascii="Arial" w:hAnsi="Arial" w:cs="Arial"/>
                <w:sz w:val="20"/>
                <w:szCs w:val="20"/>
              </w:rPr>
            </w:pPr>
            <w:r>
              <w:rPr>
                <w:rFonts w:ascii="Arial" w:hAnsi="Arial" w:cs="Arial"/>
                <w:sz w:val="20"/>
                <w:szCs w:val="20"/>
              </w:rPr>
              <w:t>(2) As an alternative to meeting the requirements of paragraph (e)(1)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 60.8, whichever date comes first, no owner or operator of an affected facility that commences modification after February 28, 2005 shall cause to be discharged into the atmosphere from that affected facility any gases that contain PM in excess of both:</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22 </w:t>
            </w:r>
            <w:proofErr w:type="spellStart"/>
            <w:r>
              <w:rPr>
                <w:rFonts w:ascii="Arial" w:hAnsi="Arial" w:cs="Arial"/>
                <w:sz w:val="20"/>
                <w:szCs w:val="20"/>
              </w:rPr>
              <w:t>ng</w:t>
            </w:r>
            <w:proofErr w:type="spellEnd"/>
            <w:r>
              <w:rPr>
                <w:rFonts w:ascii="Arial" w:hAnsi="Arial" w:cs="Arial"/>
                <w:sz w:val="20"/>
                <w:szCs w:val="20"/>
              </w:rPr>
              <w:t>/J (0.051 lb/MMBtu) heat input derived from the combustion of coal, oil, wood, a mixture of these fuels, or a mixture of these fuels with any other fuels; and</w:t>
            </w:r>
          </w:p>
          <w:p w:rsidR="00A12ACD" w:rsidRDefault="00A12ACD" w:rsidP="00A12ACD">
            <w:pPr>
              <w:pStyle w:val="NormalWeb"/>
              <w:divId w:val="311909253"/>
              <w:rPr>
                <w:rFonts w:ascii="Arial" w:hAnsi="Arial" w:cs="Arial"/>
                <w:sz w:val="20"/>
                <w:szCs w:val="20"/>
              </w:rPr>
            </w:pPr>
            <w:r>
              <w:rPr>
                <w:rFonts w:ascii="Arial" w:hAnsi="Arial" w:cs="Arial"/>
                <w:sz w:val="20"/>
                <w:szCs w:val="20"/>
              </w:rPr>
              <w:t>(ii) 0.2 percent of the combustion concentration (99.8 percent reduction) when combusting coal, oil, wood, a mixture of these fuels, or a mixture of these fuels with any other fuels.</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(3) On and after the date on which the initial performance test is completed or is required to be completed under § 60.8, whichever date comes first, no owner or operator of an affected facility that commences modification after February 28, 2005, and that combusts over 30 percent wood (by heat input) on an annual basis and has a heat input capacity of 8.7 MW (30 MMBtu/h) or greater shall cause to be discharged into the atmosphere from that affected facility any gases that contain PM in excess of 43 </w:t>
            </w:r>
            <w:proofErr w:type="spellStart"/>
            <w:r>
              <w:rPr>
                <w:rFonts w:ascii="Arial" w:hAnsi="Arial" w:cs="Arial"/>
                <w:sz w:val="20"/>
                <w:szCs w:val="20"/>
              </w:rPr>
              <w:t>ng</w:t>
            </w:r>
            <w:proofErr w:type="spellEnd"/>
            <w:r>
              <w:rPr>
                <w:rFonts w:ascii="Arial" w:hAnsi="Arial" w:cs="Arial"/>
                <w:sz w:val="20"/>
                <w:szCs w:val="20"/>
              </w:rPr>
              <w:t>/J (0.10 lb/MMBtu) heat input.</w:t>
            </w:r>
          </w:p>
          <w:p w:rsidR="00A12ACD" w:rsidRDefault="00A12ACD" w:rsidP="00A12ACD">
            <w:pPr>
              <w:pStyle w:val="NormalWeb"/>
              <w:divId w:val="311909253"/>
              <w:rPr>
                <w:rFonts w:ascii="Arial" w:hAnsi="Arial" w:cs="Arial"/>
                <w:sz w:val="20"/>
                <w:szCs w:val="20"/>
              </w:rPr>
            </w:pPr>
            <w:r>
              <w:rPr>
                <w:rFonts w:ascii="Arial" w:hAnsi="Arial" w:cs="Arial"/>
                <w:sz w:val="20"/>
                <w:szCs w:val="20"/>
              </w:rPr>
              <w:t>(4) An owner or operator of an affected facility that commences construction, reconstruction, or modification after February 28, 2005, and that combusts only oil that contains no more than 0.50 weight percent sulfur or a mixture of 0.50 weight percent sulfur oil with other fuels not subject to a PM standard under § 60.43c and not using a post-combustion technology (except a wet scrubber) to reduce PM or SO</w:t>
            </w:r>
            <w:r>
              <w:rPr>
                <w:rFonts w:ascii="Arial" w:hAnsi="Arial" w:cs="Arial"/>
                <w:sz w:val="14"/>
                <w:szCs w:val="14"/>
                <w:vertAlign w:val="subscript"/>
              </w:rPr>
              <w:t>2</w:t>
            </w:r>
            <w:r>
              <w:rPr>
                <w:rFonts w:ascii="Arial" w:hAnsi="Arial" w:cs="Arial"/>
                <w:sz w:val="20"/>
                <w:szCs w:val="20"/>
              </w:rPr>
              <w:t xml:space="preserve"> emissions is not subject to the PM limit in this section.</w:t>
            </w:r>
          </w:p>
          <w:p w:rsidR="00A12ACD" w:rsidRDefault="00A12ACD" w:rsidP="00A12ACD">
            <w:pPr>
              <w:pStyle w:val="cita"/>
              <w:divId w:val="311909253"/>
              <w:rPr>
                <w:rFonts w:ascii="Arial" w:hAnsi="Arial" w:cs="Arial"/>
              </w:rPr>
            </w:pPr>
            <w:r>
              <w:rPr>
                <w:rFonts w:ascii="Arial" w:hAnsi="Arial" w:cs="Arial"/>
              </w:rPr>
              <w:t>[72 FR 32759, June 13, 2007, as amended at 74 FR 5091, Jan. 28, 2009; 77 FR 9462, Feb. 16, 2012]</w:t>
            </w:r>
          </w:p>
          <w:p w:rsidR="00A12ACD" w:rsidRDefault="00A12ACD" w:rsidP="00A12ACD">
            <w:pPr>
              <w:pStyle w:val="fp"/>
              <w:divId w:val="491145312"/>
              <w:rPr>
                <w:rFonts w:ascii="Arial" w:hAnsi="Arial" w:cs="Arial"/>
                <w:sz w:val="20"/>
                <w:szCs w:val="20"/>
              </w:rPr>
            </w:pPr>
            <w:hyperlink w:anchor="_top" w:history="1">
              <w:r>
                <w:rPr>
                  <w:rFonts w:ascii="Arial" w:hAnsi="Arial" w:cs="Arial"/>
                  <w:noProof/>
                  <w:color w:val="0000FF"/>
                  <w:sz w:val="17"/>
                  <w:szCs w:val="17"/>
                </w:rPr>
                <w:drawing>
                  <wp:inline distT="0" distB="0" distL="0" distR="0">
                    <wp:extent cx="152400" cy="152400"/>
                    <wp:effectExtent l="0" t="0" r="0" b="0"/>
                    <wp:docPr id="36" name="Picture 16" descr="return arrow">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14"/>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Style w:val="Hyperlink"/>
                </w:rPr>
                <w:t>Back to Top</w:t>
              </w:r>
            </w:hyperlink>
          </w:p>
          <w:p w:rsidR="00A12ACD" w:rsidRDefault="00A12ACD" w:rsidP="00A12ACD">
            <w:pPr>
              <w:pStyle w:val="Heading2"/>
              <w:jc w:val="left"/>
              <w:divId w:val="311909253"/>
              <w:rPr>
                <w:rFonts w:ascii="Arial" w:eastAsia="Times New Roman" w:hAnsi="Arial" w:cs="Arial"/>
              </w:rPr>
            </w:pPr>
            <w:bookmarkStart w:id="5" w:name="40:7.0.1.1.1.12.151.5"/>
            <w:bookmarkEnd w:id="5"/>
            <w:r>
              <w:rPr>
                <w:rFonts w:ascii="Arial" w:eastAsia="Times New Roman" w:hAnsi="Arial" w:cs="Arial"/>
              </w:rPr>
              <w:t>§ 60.44c   Compliance and performance test methods and procedures for sulfur dioxide.</w:t>
            </w:r>
          </w:p>
          <w:p w:rsidR="00A12ACD" w:rsidRDefault="00A12ACD" w:rsidP="00A12ACD">
            <w:pPr>
              <w:pStyle w:val="NormalWeb"/>
              <w:divId w:val="311909253"/>
              <w:rPr>
                <w:rFonts w:ascii="Arial" w:hAnsi="Arial" w:cs="Arial"/>
                <w:sz w:val="20"/>
                <w:szCs w:val="20"/>
              </w:rPr>
            </w:pPr>
            <w:r>
              <w:rPr>
                <w:rFonts w:ascii="Arial" w:hAnsi="Arial" w:cs="Arial"/>
                <w:sz w:val="20"/>
                <w:szCs w:val="20"/>
              </w:rPr>
              <w:t>(a) Except as provided in paragraphs (g) and (h) of this section and § 60.8(b), performance tests required under § 60.8 shall be conducted following the procedures specified in paragraphs (b), (c), (d), (e), and (f) of this section, as applicable. Section 60.8(f) does not apply to this section. The 30-day notice required in § 60.8(d) applies only to the initial performance test unless otherwise specified by the Administrator.</w:t>
            </w:r>
          </w:p>
          <w:p w:rsidR="00A12ACD" w:rsidRDefault="00A12ACD" w:rsidP="00A12ACD">
            <w:pPr>
              <w:pStyle w:val="NormalWeb"/>
              <w:divId w:val="311909253"/>
              <w:rPr>
                <w:rFonts w:ascii="Arial" w:hAnsi="Arial" w:cs="Arial"/>
                <w:sz w:val="20"/>
                <w:szCs w:val="20"/>
              </w:rPr>
            </w:pPr>
            <w:r>
              <w:rPr>
                <w:rFonts w:ascii="Arial" w:hAnsi="Arial" w:cs="Arial"/>
                <w:sz w:val="20"/>
                <w:szCs w:val="20"/>
              </w:rPr>
              <w:t>(b) The initial performance test required under § 60.8 shall be conducted over 30 consecutive operating days of the steam generating unit. Compliance with the percent reduction requirements and SO</w:t>
            </w:r>
            <w:r>
              <w:rPr>
                <w:rFonts w:ascii="Arial" w:hAnsi="Arial" w:cs="Arial"/>
                <w:sz w:val="14"/>
                <w:szCs w:val="14"/>
                <w:vertAlign w:val="subscript"/>
              </w:rPr>
              <w:t>2</w:t>
            </w:r>
            <w:r>
              <w:rPr>
                <w:rFonts w:ascii="Arial" w:hAnsi="Arial" w:cs="Arial"/>
                <w:sz w:val="20"/>
                <w:szCs w:val="20"/>
              </w:rPr>
              <w:t xml:space="preserve"> emission limits under § 60.42c shall be determined using a 30-day average. The first operating day included in the initial performance test shall be scheduled within 30 days after achieving the maximum production rate at which the affect facility will be operated, but not later than 180 days after the initial startup of the facility. The steam generating unit load during the 30-day period does not have to be the maximum design heat input capacity, but must be representative of future operating conditions.</w:t>
            </w:r>
          </w:p>
          <w:p w:rsidR="00A12ACD" w:rsidRDefault="00A12ACD" w:rsidP="00A12ACD">
            <w:pPr>
              <w:pStyle w:val="NormalWeb"/>
              <w:divId w:val="311909253"/>
              <w:rPr>
                <w:rFonts w:ascii="Arial" w:hAnsi="Arial" w:cs="Arial"/>
                <w:sz w:val="20"/>
                <w:szCs w:val="20"/>
              </w:rPr>
            </w:pPr>
            <w:r>
              <w:rPr>
                <w:rFonts w:ascii="Arial" w:hAnsi="Arial" w:cs="Arial"/>
                <w:sz w:val="20"/>
                <w:szCs w:val="20"/>
              </w:rPr>
              <w:t>(c) After the initial performance test required under paragraph (b) of this section and § 60.8, compliance with the percent reduction requirements and SO</w:t>
            </w:r>
            <w:r>
              <w:rPr>
                <w:rFonts w:ascii="Arial" w:hAnsi="Arial" w:cs="Arial"/>
                <w:sz w:val="14"/>
                <w:szCs w:val="14"/>
                <w:vertAlign w:val="subscript"/>
              </w:rPr>
              <w:t>2</w:t>
            </w:r>
            <w:r>
              <w:rPr>
                <w:rFonts w:ascii="Arial" w:hAnsi="Arial" w:cs="Arial"/>
                <w:sz w:val="20"/>
                <w:szCs w:val="20"/>
              </w:rPr>
              <w:t xml:space="preserve"> emission limits under § 60.42c is based on the average percent reduction and the average SO</w:t>
            </w:r>
            <w:r>
              <w:rPr>
                <w:rFonts w:ascii="Arial" w:hAnsi="Arial" w:cs="Arial"/>
                <w:sz w:val="14"/>
                <w:szCs w:val="14"/>
                <w:vertAlign w:val="subscript"/>
              </w:rPr>
              <w:t>2</w:t>
            </w:r>
            <w:r>
              <w:rPr>
                <w:rFonts w:ascii="Arial" w:hAnsi="Arial" w:cs="Arial"/>
                <w:sz w:val="20"/>
                <w:szCs w:val="20"/>
              </w:rPr>
              <w:t xml:space="preserve"> emission rates for 30 consecutive steam generating unit operating days. A separate performance test is completed at the end of each steam generating unit operating day, and a new 30-day average percent reduction and SO</w:t>
            </w:r>
            <w:r>
              <w:rPr>
                <w:rFonts w:ascii="Arial" w:hAnsi="Arial" w:cs="Arial"/>
                <w:sz w:val="14"/>
                <w:szCs w:val="14"/>
                <w:vertAlign w:val="subscript"/>
              </w:rPr>
              <w:t>2</w:t>
            </w:r>
            <w:r>
              <w:rPr>
                <w:rFonts w:ascii="Arial" w:hAnsi="Arial" w:cs="Arial"/>
                <w:sz w:val="20"/>
                <w:szCs w:val="20"/>
              </w:rPr>
              <w:t xml:space="preserve"> emission rate are calculated to show compliance with the standard.</w:t>
            </w:r>
          </w:p>
          <w:p w:rsidR="00A12ACD" w:rsidRDefault="00A12ACD" w:rsidP="00A12ACD">
            <w:pPr>
              <w:pStyle w:val="NormalWeb"/>
              <w:divId w:val="311909253"/>
              <w:rPr>
                <w:rFonts w:ascii="Arial" w:hAnsi="Arial" w:cs="Arial"/>
                <w:sz w:val="20"/>
                <w:szCs w:val="20"/>
              </w:rPr>
            </w:pPr>
            <w:r>
              <w:rPr>
                <w:rFonts w:ascii="Arial" w:hAnsi="Arial" w:cs="Arial"/>
                <w:sz w:val="20"/>
                <w:szCs w:val="20"/>
              </w:rPr>
              <w:t>(d) If only coal, only oil, or a mixture of coal and oil is combusted in an affected facility, the procedures in Method 19 of appendix A of this part are used to determine the hourly SO</w:t>
            </w:r>
            <w:r>
              <w:rPr>
                <w:rFonts w:ascii="Arial" w:hAnsi="Arial" w:cs="Arial"/>
                <w:sz w:val="14"/>
                <w:szCs w:val="14"/>
                <w:vertAlign w:val="subscript"/>
              </w:rPr>
              <w:t>2</w:t>
            </w:r>
            <w:r>
              <w:rPr>
                <w:rFonts w:ascii="Arial" w:hAnsi="Arial" w:cs="Arial"/>
                <w:sz w:val="20"/>
                <w:szCs w:val="20"/>
              </w:rPr>
              <w:t xml:space="preserve"> emission rate (</w:t>
            </w:r>
            <w:proofErr w:type="spellStart"/>
            <w:r>
              <w:rPr>
                <w:rFonts w:ascii="Arial" w:hAnsi="Arial" w:cs="Arial"/>
                <w:sz w:val="20"/>
                <w:szCs w:val="20"/>
              </w:rPr>
              <w:t>E</w:t>
            </w:r>
            <w:r>
              <w:rPr>
                <w:rFonts w:ascii="Arial" w:hAnsi="Arial" w:cs="Arial"/>
                <w:sz w:val="14"/>
                <w:szCs w:val="14"/>
                <w:vertAlign w:val="subscript"/>
              </w:rPr>
              <w:t>ho</w:t>
            </w:r>
            <w:proofErr w:type="spellEnd"/>
            <w:r>
              <w:rPr>
                <w:rFonts w:ascii="Arial" w:hAnsi="Arial" w:cs="Arial"/>
                <w:sz w:val="20"/>
                <w:szCs w:val="20"/>
              </w:rPr>
              <w:t xml:space="preserve"> ) and the 30-day average SO</w:t>
            </w:r>
            <w:r>
              <w:rPr>
                <w:rFonts w:ascii="Arial" w:hAnsi="Arial" w:cs="Arial"/>
                <w:sz w:val="14"/>
                <w:szCs w:val="14"/>
                <w:vertAlign w:val="subscript"/>
              </w:rPr>
              <w:t>2</w:t>
            </w:r>
            <w:r>
              <w:rPr>
                <w:rFonts w:ascii="Arial" w:hAnsi="Arial" w:cs="Arial"/>
                <w:sz w:val="20"/>
                <w:szCs w:val="20"/>
              </w:rPr>
              <w:t xml:space="preserve"> emission rate (</w:t>
            </w:r>
            <w:proofErr w:type="spellStart"/>
            <w:r>
              <w:rPr>
                <w:rFonts w:ascii="Arial" w:hAnsi="Arial" w:cs="Arial"/>
                <w:sz w:val="20"/>
                <w:szCs w:val="20"/>
              </w:rPr>
              <w:t>E</w:t>
            </w:r>
            <w:r>
              <w:rPr>
                <w:rFonts w:ascii="Arial" w:hAnsi="Arial" w:cs="Arial"/>
                <w:sz w:val="14"/>
                <w:szCs w:val="14"/>
                <w:vertAlign w:val="subscript"/>
              </w:rPr>
              <w:t>ao</w:t>
            </w:r>
            <w:proofErr w:type="spellEnd"/>
            <w:r>
              <w:rPr>
                <w:rFonts w:ascii="Arial" w:hAnsi="Arial" w:cs="Arial"/>
                <w:sz w:val="20"/>
                <w:szCs w:val="20"/>
              </w:rPr>
              <w:t xml:space="preserve"> ). The hourly averages used to compute the 30-day averages are obtained from the CEMS. Method 19 of appendix A of this part shall be used to calculate </w:t>
            </w:r>
            <w:proofErr w:type="spellStart"/>
            <w:r>
              <w:rPr>
                <w:rFonts w:ascii="Arial" w:hAnsi="Arial" w:cs="Arial"/>
                <w:sz w:val="20"/>
                <w:szCs w:val="20"/>
              </w:rPr>
              <w:t>E</w:t>
            </w:r>
            <w:r>
              <w:rPr>
                <w:rFonts w:ascii="Arial" w:hAnsi="Arial" w:cs="Arial"/>
                <w:sz w:val="14"/>
                <w:szCs w:val="14"/>
                <w:vertAlign w:val="subscript"/>
              </w:rPr>
              <w:t>ao</w:t>
            </w:r>
            <w:proofErr w:type="spellEnd"/>
            <w:r>
              <w:rPr>
                <w:rFonts w:ascii="Arial" w:hAnsi="Arial" w:cs="Arial"/>
                <w:sz w:val="20"/>
                <w:szCs w:val="20"/>
              </w:rPr>
              <w:t xml:space="preserve"> when using daily fuel sampling or Method 6B of appendix A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(e) If coal, oil, or coal and oil are combusted with other fuels:</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(1) An adjusted </w:t>
            </w:r>
            <w:proofErr w:type="spellStart"/>
            <w:r>
              <w:rPr>
                <w:rFonts w:ascii="Arial" w:hAnsi="Arial" w:cs="Arial"/>
                <w:sz w:val="20"/>
                <w:szCs w:val="20"/>
              </w:rPr>
              <w:t>E</w:t>
            </w:r>
            <w:r>
              <w:rPr>
                <w:rFonts w:ascii="Arial" w:hAnsi="Arial" w:cs="Arial"/>
                <w:sz w:val="14"/>
                <w:szCs w:val="14"/>
                <w:vertAlign w:val="subscript"/>
              </w:rPr>
              <w:t>ho</w:t>
            </w:r>
            <w:proofErr w:type="spellEnd"/>
            <w:r>
              <w:rPr>
                <w:rFonts w:ascii="Arial" w:hAnsi="Arial" w:cs="Arial"/>
                <w:sz w:val="20"/>
                <w:szCs w:val="20"/>
              </w:rPr>
              <w:t xml:space="preserve"> (</w:t>
            </w:r>
            <w:proofErr w:type="spellStart"/>
            <w:r>
              <w:rPr>
                <w:rFonts w:ascii="Arial" w:hAnsi="Arial" w:cs="Arial"/>
                <w:sz w:val="20"/>
                <w:szCs w:val="20"/>
              </w:rPr>
              <w:t>E</w:t>
            </w:r>
            <w:r>
              <w:rPr>
                <w:rFonts w:ascii="Arial" w:hAnsi="Arial" w:cs="Arial"/>
                <w:sz w:val="14"/>
                <w:szCs w:val="14"/>
                <w:vertAlign w:val="subscript"/>
              </w:rPr>
              <w:t>ho</w:t>
            </w:r>
            <w:proofErr w:type="spellEnd"/>
            <w:r>
              <w:rPr>
                <w:rFonts w:ascii="Arial" w:hAnsi="Arial" w:cs="Arial"/>
                <w:sz w:val="20"/>
                <w:szCs w:val="20"/>
              </w:rPr>
              <w:t xml:space="preserve"> o) is used in Equation 19-19 of Method 19 of appendix A of this part to compute the adjusted </w:t>
            </w:r>
            <w:proofErr w:type="spellStart"/>
            <w:r>
              <w:rPr>
                <w:rFonts w:ascii="Arial" w:hAnsi="Arial" w:cs="Arial"/>
                <w:sz w:val="20"/>
                <w:szCs w:val="20"/>
              </w:rPr>
              <w:t>E</w:t>
            </w:r>
            <w:r>
              <w:rPr>
                <w:rFonts w:ascii="Arial" w:hAnsi="Arial" w:cs="Arial"/>
                <w:sz w:val="14"/>
                <w:szCs w:val="14"/>
                <w:vertAlign w:val="subscript"/>
              </w:rPr>
              <w:t>ao</w:t>
            </w:r>
            <w:proofErr w:type="spellEnd"/>
            <w:r>
              <w:rPr>
                <w:rFonts w:ascii="Arial" w:hAnsi="Arial" w:cs="Arial"/>
                <w:sz w:val="20"/>
                <w:szCs w:val="20"/>
              </w:rPr>
              <w:t xml:space="preserve"> (</w:t>
            </w:r>
            <w:proofErr w:type="spellStart"/>
            <w:r>
              <w:rPr>
                <w:rFonts w:ascii="Arial" w:hAnsi="Arial" w:cs="Arial"/>
                <w:sz w:val="20"/>
                <w:szCs w:val="20"/>
              </w:rPr>
              <w:t>E</w:t>
            </w:r>
            <w:r>
              <w:rPr>
                <w:rFonts w:ascii="Arial" w:hAnsi="Arial" w:cs="Arial"/>
                <w:sz w:val="14"/>
                <w:szCs w:val="14"/>
                <w:vertAlign w:val="subscript"/>
              </w:rPr>
              <w:t>ao</w:t>
            </w:r>
            <w:proofErr w:type="spellEnd"/>
            <w:r>
              <w:rPr>
                <w:rFonts w:ascii="Arial" w:hAnsi="Arial" w:cs="Arial"/>
                <w:sz w:val="20"/>
                <w:szCs w:val="20"/>
              </w:rPr>
              <w:t xml:space="preserve"> o). The </w:t>
            </w:r>
            <w:proofErr w:type="spellStart"/>
            <w:r>
              <w:rPr>
                <w:rFonts w:ascii="Arial" w:hAnsi="Arial" w:cs="Arial"/>
                <w:sz w:val="20"/>
                <w:szCs w:val="20"/>
              </w:rPr>
              <w:t>E</w:t>
            </w:r>
            <w:r>
              <w:rPr>
                <w:rFonts w:ascii="Arial" w:hAnsi="Arial" w:cs="Arial"/>
                <w:sz w:val="14"/>
                <w:szCs w:val="14"/>
                <w:vertAlign w:val="subscript"/>
              </w:rPr>
              <w:t>ho</w:t>
            </w:r>
            <w:proofErr w:type="spellEnd"/>
            <w:r>
              <w:rPr>
                <w:rFonts w:ascii="Arial" w:hAnsi="Arial" w:cs="Arial"/>
                <w:sz w:val="20"/>
                <w:szCs w:val="20"/>
              </w:rPr>
              <w:t xml:space="preserve"> o is computed using the following formula:</w:t>
            </w:r>
          </w:p>
          <w:p w:rsidR="00A12ACD" w:rsidRDefault="00A12ACD" w:rsidP="00A12ACD">
            <w:pPr>
              <w:divId w:val="311909253"/>
              <w:rPr>
                <w:rFonts w:ascii="Arial" w:eastAsia="Times New Roman" w:hAnsi="Arial" w:cs="Arial"/>
                <w:sz w:val="20"/>
                <w:szCs w:val="20"/>
              </w:rPr>
            </w:pPr>
            <w:r>
              <w:rPr>
                <w:rFonts w:ascii="Arial" w:eastAsia="Times New Roman" w:hAnsi="Arial" w:cs="Arial"/>
                <w:noProof/>
                <w:sz w:val="20"/>
                <w:szCs w:val="20"/>
              </w:rPr>
              <w:drawing>
                <wp:inline distT="0" distB="0" distL="0" distR="0">
                  <wp:extent cx="1295400" cy="390525"/>
                  <wp:effectExtent l="19050" t="0" r="0" b="0"/>
                  <wp:docPr id="37" name="Picture 17" descr="eCFR graphic er13jn07.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13jn07.033.gif"/>
                          <pic:cNvPicPr>
                            <a:picLocks noChangeAspect="1" noChangeArrowheads="1"/>
                          </pic:cNvPicPr>
                        </pic:nvPicPr>
                        <pic:blipFill>
                          <a:blip r:link="rId15" cstate="print"/>
                          <a:srcRect/>
                          <a:stretch>
                            <a:fillRect/>
                          </a:stretch>
                        </pic:blipFill>
                        <pic:spPr bwMode="auto">
                          <a:xfrm>
                            <a:off x="0" y="0"/>
                            <a:ext cx="1295400" cy="390525"/>
                          </a:xfrm>
                          <a:prstGeom prst="rect">
                            <a:avLst/>
                          </a:prstGeom>
                          <a:noFill/>
                          <a:ln w="9525">
                            <a:noFill/>
                            <a:miter lim="800000"/>
                            <a:headEnd/>
                            <a:tailEnd/>
                          </a:ln>
                        </pic:spPr>
                      </pic:pic>
                    </a:graphicData>
                  </a:graphic>
                </wp:inline>
              </w:drawing>
            </w:r>
          </w:p>
          <w:p w:rsidR="00A12ACD" w:rsidRDefault="00A12ACD" w:rsidP="00A12ACD">
            <w:pPr>
              <w:pStyle w:val="fp"/>
              <w:divId w:val="668674375"/>
              <w:rPr>
                <w:rFonts w:ascii="Arial" w:hAnsi="Arial" w:cs="Arial"/>
                <w:sz w:val="18"/>
                <w:szCs w:val="18"/>
              </w:rPr>
            </w:pPr>
            <w:r>
              <w:rPr>
                <w:rFonts w:ascii="Arial" w:hAnsi="Arial" w:cs="Arial"/>
                <w:sz w:val="18"/>
                <w:szCs w:val="18"/>
              </w:rPr>
              <w:t>Where:</w:t>
            </w:r>
          </w:p>
          <w:p w:rsidR="00A12ACD" w:rsidRDefault="00A12ACD" w:rsidP="00A12ACD">
            <w:pPr>
              <w:pStyle w:val="fp-2"/>
              <w:divId w:val="668674375"/>
              <w:rPr>
                <w:rFonts w:ascii="Arial" w:hAnsi="Arial" w:cs="Arial"/>
                <w:sz w:val="18"/>
                <w:szCs w:val="18"/>
              </w:rPr>
            </w:pPr>
            <w:proofErr w:type="spellStart"/>
            <w:r>
              <w:rPr>
                <w:rFonts w:ascii="Arial" w:hAnsi="Arial" w:cs="Arial"/>
                <w:sz w:val="18"/>
                <w:szCs w:val="18"/>
              </w:rPr>
              <w:t>E</w:t>
            </w:r>
            <w:r>
              <w:rPr>
                <w:rFonts w:ascii="Arial" w:hAnsi="Arial" w:cs="Arial"/>
                <w:sz w:val="13"/>
                <w:szCs w:val="13"/>
                <w:vertAlign w:val="subscript"/>
              </w:rPr>
              <w:t>ho</w:t>
            </w:r>
            <w:proofErr w:type="spellEnd"/>
            <w:r>
              <w:rPr>
                <w:rFonts w:ascii="Arial" w:hAnsi="Arial" w:cs="Arial"/>
                <w:sz w:val="18"/>
                <w:szCs w:val="18"/>
              </w:rPr>
              <w:t xml:space="preserve"> o = Adjusted </w:t>
            </w:r>
            <w:proofErr w:type="spellStart"/>
            <w:r>
              <w:rPr>
                <w:rFonts w:ascii="Arial" w:hAnsi="Arial" w:cs="Arial"/>
                <w:sz w:val="18"/>
                <w:szCs w:val="18"/>
              </w:rPr>
              <w:t>E</w:t>
            </w:r>
            <w:r>
              <w:rPr>
                <w:rFonts w:ascii="Arial" w:hAnsi="Arial" w:cs="Arial"/>
                <w:sz w:val="13"/>
                <w:szCs w:val="13"/>
                <w:vertAlign w:val="subscript"/>
              </w:rPr>
              <w:t>ho</w:t>
            </w:r>
            <w:proofErr w:type="spellEnd"/>
            <w:r>
              <w:rPr>
                <w:rFonts w:ascii="Arial" w:hAnsi="Arial" w:cs="Arial"/>
                <w:sz w:val="18"/>
                <w:szCs w:val="18"/>
              </w:rPr>
              <w:t xml:space="preserve"> , </w:t>
            </w:r>
            <w:proofErr w:type="spellStart"/>
            <w:r>
              <w:rPr>
                <w:rFonts w:ascii="Arial" w:hAnsi="Arial" w:cs="Arial"/>
                <w:sz w:val="18"/>
                <w:szCs w:val="18"/>
              </w:rPr>
              <w:t>ng</w:t>
            </w:r>
            <w:proofErr w:type="spellEnd"/>
            <w:r>
              <w:rPr>
                <w:rFonts w:ascii="Arial" w:hAnsi="Arial" w:cs="Arial"/>
                <w:sz w:val="18"/>
                <w:szCs w:val="18"/>
              </w:rPr>
              <w:t>/J (lb/MMBtu);</w:t>
            </w:r>
          </w:p>
          <w:p w:rsidR="00A12ACD" w:rsidRDefault="00A12ACD" w:rsidP="00A12ACD">
            <w:pPr>
              <w:pStyle w:val="fp-2"/>
              <w:divId w:val="668674375"/>
              <w:rPr>
                <w:rFonts w:ascii="Arial" w:hAnsi="Arial" w:cs="Arial"/>
                <w:sz w:val="18"/>
                <w:szCs w:val="18"/>
              </w:rPr>
            </w:pPr>
            <w:proofErr w:type="spellStart"/>
            <w:r>
              <w:rPr>
                <w:rFonts w:ascii="Arial" w:hAnsi="Arial" w:cs="Arial"/>
                <w:sz w:val="18"/>
                <w:szCs w:val="18"/>
              </w:rPr>
              <w:t>E</w:t>
            </w:r>
            <w:r>
              <w:rPr>
                <w:rFonts w:ascii="Arial" w:hAnsi="Arial" w:cs="Arial"/>
                <w:sz w:val="13"/>
                <w:szCs w:val="13"/>
                <w:vertAlign w:val="subscript"/>
              </w:rPr>
              <w:t>ho</w:t>
            </w:r>
            <w:proofErr w:type="spellEnd"/>
            <w:r>
              <w:rPr>
                <w:rFonts w:ascii="Arial" w:hAnsi="Arial" w:cs="Arial"/>
                <w:sz w:val="18"/>
                <w:szCs w:val="18"/>
              </w:rPr>
              <w:t xml:space="preserve"> = Hourly SO</w:t>
            </w:r>
            <w:r>
              <w:rPr>
                <w:rFonts w:ascii="Arial" w:hAnsi="Arial" w:cs="Arial"/>
                <w:sz w:val="13"/>
                <w:szCs w:val="13"/>
                <w:vertAlign w:val="subscript"/>
              </w:rPr>
              <w:t>2</w:t>
            </w:r>
            <w:r>
              <w:rPr>
                <w:rFonts w:ascii="Arial" w:hAnsi="Arial" w:cs="Arial"/>
                <w:sz w:val="18"/>
                <w:szCs w:val="18"/>
              </w:rPr>
              <w:t xml:space="preserve"> emission rate, </w:t>
            </w:r>
            <w:proofErr w:type="spellStart"/>
            <w:r>
              <w:rPr>
                <w:rFonts w:ascii="Arial" w:hAnsi="Arial" w:cs="Arial"/>
                <w:sz w:val="18"/>
                <w:szCs w:val="18"/>
              </w:rPr>
              <w:t>ng</w:t>
            </w:r>
            <w:proofErr w:type="spellEnd"/>
            <w:r>
              <w:rPr>
                <w:rFonts w:ascii="Arial" w:hAnsi="Arial" w:cs="Arial"/>
                <w:sz w:val="18"/>
                <w:szCs w:val="18"/>
              </w:rPr>
              <w:t>/J (lb/MMBtu);</w:t>
            </w:r>
          </w:p>
          <w:p w:rsidR="00A12ACD" w:rsidRDefault="00A12ACD" w:rsidP="00A12ACD">
            <w:pPr>
              <w:pStyle w:val="fp-2"/>
              <w:divId w:val="668674375"/>
              <w:rPr>
                <w:rFonts w:ascii="Arial" w:hAnsi="Arial" w:cs="Arial"/>
                <w:sz w:val="18"/>
                <w:szCs w:val="18"/>
              </w:rPr>
            </w:pPr>
            <w:proofErr w:type="spellStart"/>
            <w:r>
              <w:rPr>
                <w:rFonts w:ascii="Arial" w:hAnsi="Arial" w:cs="Arial"/>
                <w:sz w:val="18"/>
                <w:szCs w:val="18"/>
              </w:rPr>
              <w:t>E</w:t>
            </w:r>
            <w:r>
              <w:rPr>
                <w:rFonts w:ascii="Arial" w:hAnsi="Arial" w:cs="Arial"/>
                <w:sz w:val="13"/>
                <w:szCs w:val="13"/>
                <w:vertAlign w:val="subscript"/>
              </w:rPr>
              <w:t>w</w:t>
            </w:r>
            <w:proofErr w:type="spellEnd"/>
            <w:r>
              <w:rPr>
                <w:rFonts w:ascii="Arial" w:hAnsi="Arial" w:cs="Arial"/>
                <w:sz w:val="18"/>
                <w:szCs w:val="18"/>
              </w:rPr>
              <w:t xml:space="preserve"> = SO</w:t>
            </w:r>
            <w:r>
              <w:rPr>
                <w:rFonts w:ascii="Arial" w:hAnsi="Arial" w:cs="Arial"/>
                <w:sz w:val="13"/>
                <w:szCs w:val="13"/>
                <w:vertAlign w:val="subscript"/>
              </w:rPr>
              <w:t>2</w:t>
            </w:r>
            <w:r>
              <w:rPr>
                <w:rFonts w:ascii="Arial" w:hAnsi="Arial" w:cs="Arial"/>
                <w:sz w:val="18"/>
                <w:szCs w:val="18"/>
              </w:rPr>
              <w:t xml:space="preserve"> concentration in fuels other than coal and oil combusted in the affected facility, as determined by fuel sampling and analysis procedures in Method 9 of appendix A of this part, </w:t>
            </w:r>
            <w:proofErr w:type="spellStart"/>
            <w:r>
              <w:rPr>
                <w:rFonts w:ascii="Arial" w:hAnsi="Arial" w:cs="Arial"/>
                <w:sz w:val="18"/>
                <w:szCs w:val="18"/>
              </w:rPr>
              <w:t>ng</w:t>
            </w:r>
            <w:proofErr w:type="spellEnd"/>
            <w:r>
              <w:rPr>
                <w:rFonts w:ascii="Arial" w:hAnsi="Arial" w:cs="Arial"/>
                <w:sz w:val="18"/>
                <w:szCs w:val="18"/>
              </w:rPr>
              <w:t xml:space="preserve">/J (lb/MMBtu). The value </w:t>
            </w:r>
            <w:proofErr w:type="spellStart"/>
            <w:r>
              <w:rPr>
                <w:rFonts w:ascii="Arial" w:hAnsi="Arial" w:cs="Arial"/>
                <w:sz w:val="18"/>
                <w:szCs w:val="18"/>
              </w:rPr>
              <w:t>E</w:t>
            </w:r>
            <w:r>
              <w:rPr>
                <w:rFonts w:ascii="Arial" w:hAnsi="Arial" w:cs="Arial"/>
                <w:sz w:val="13"/>
                <w:szCs w:val="13"/>
                <w:vertAlign w:val="subscript"/>
              </w:rPr>
              <w:t>w</w:t>
            </w:r>
            <w:proofErr w:type="spellEnd"/>
            <w:r>
              <w:rPr>
                <w:rFonts w:ascii="Arial" w:hAnsi="Arial" w:cs="Arial"/>
                <w:sz w:val="18"/>
                <w:szCs w:val="18"/>
              </w:rPr>
              <w:t xml:space="preserve"> for each fuel lot is used for each hourly average during the time that the lot is being combusted. The owner or operator does not have to measure </w:t>
            </w:r>
            <w:proofErr w:type="spellStart"/>
            <w:r>
              <w:rPr>
                <w:rFonts w:ascii="Arial" w:hAnsi="Arial" w:cs="Arial"/>
                <w:sz w:val="18"/>
                <w:szCs w:val="18"/>
              </w:rPr>
              <w:t>E</w:t>
            </w:r>
            <w:r>
              <w:rPr>
                <w:rFonts w:ascii="Arial" w:hAnsi="Arial" w:cs="Arial"/>
                <w:sz w:val="13"/>
                <w:szCs w:val="13"/>
                <w:vertAlign w:val="subscript"/>
              </w:rPr>
              <w:t>w</w:t>
            </w:r>
            <w:proofErr w:type="spellEnd"/>
            <w:r>
              <w:rPr>
                <w:rFonts w:ascii="Arial" w:hAnsi="Arial" w:cs="Arial"/>
                <w:sz w:val="18"/>
                <w:szCs w:val="18"/>
              </w:rPr>
              <w:t xml:space="preserve"> if the owner or operator elects to assume </w:t>
            </w:r>
            <w:proofErr w:type="spellStart"/>
            <w:r>
              <w:rPr>
                <w:rFonts w:ascii="Arial" w:hAnsi="Arial" w:cs="Arial"/>
                <w:sz w:val="18"/>
                <w:szCs w:val="18"/>
              </w:rPr>
              <w:t>E</w:t>
            </w:r>
            <w:r>
              <w:rPr>
                <w:rFonts w:ascii="Arial" w:hAnsi="Arial" w:cs="Arial"/>
                <w:sz w:val="13"/>
                <w:szCs w:val="13"/>
                <w:vertAlign w:val="subscript"/>
              </w:rPr>
              <w:t>w</w:t>
            </w:r>
            <w:proofErr w:type="spellEnd"/>
            <w:r>
              <w:rPr>
                <w:rFonts w:ascii="Arial" w:hAnsi="Arial" w:cs="Arial"/>
                <w:sz w:val="18"/>
                <w:szCs w:val="18"/>
              </w:rPr>
              <w:t xml:space="preserve"> = 0.</w:t>
            </w:r>
          </w:p>
          <w:p w:rsidR="00A12ACD" w:rsidRDefault="00A12ACD" w:rsidP="00A12ACD">
            <w:pPr>
              <w:pStyle w:val="fp-2"/>
              <w:divId w:val="668674375"/>
              <w:rPr>
                <w:rFonts w:ascii="Arial" w:hAnsi="Arial" w:cs="Arial"/>
                <w:sz w:val="18"/>
                <w:szCs w:val="18"/>
              </w:rPr>
            </w:pPr>
            <w:proofErr w:type="spellStart"/>
            <w:r>
              <w:rPr>
                <w:rFonts w:ascii="Arial" w:hAnsi="Arial" w:cs="Arial"/>
                <w:sz w:val="18"/>
                <w:szCs w:val="18"/>
              </w:rPr>
              <w:t>X</w:t>
            </w:r>
            <w:r>
              <w:rPr>
                <w:rFonts w:ascii="Arial" w:hAnsi="Arial" w:cs="Arial"/>
                <w:sz w:val="13"/>
                <w:szCs w:val="13"/>
                <w:vertAlign w:val="subscript"/>
              </w:rPr>
              <w:t>k</w:t>
            </w:r>
            <w:proofErr w:type="spellEnd"/>
            <w:r>
              <w:rPr>
                <w:rFonts w:ascii="Arial" w:hAnsi="Arial" w:cs="Arial"/>
                <w:sz w:val="18"/>
                <w:szCs w:val="18"/>
              </w:rPr>
              <w:t xml:space="preserve"> = Fraction of the total heat input from fuel combustion derived from coal and oil, as determined by applicable procedures in Method 19 of appendix A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(2) The owner or operator of an affected facility that qualifies under the provisions of § 60.42c(c) or (d) (where percent reduction is not required) does not have to measure the parameters </w:t>
            </w:r>
            <w:proofErr w:type="spellStart"/>
            <w:r>
              <w:rPr>
                <w:rFonts w:ascii="Arial" w:hAnsi="Arial" w:cs="Arial"/>
                <w:sz w:val="20"/>
                <w:szCs w:val="20"/>
              </w:rPr>
              <w:t>E</w:t>
            </w:r>
            <w:r>
              <w:rPr>
                <w:rFonts w:ascii="Arial" w:hAnsi="Arial" w:cs="Arial"/>
                <w:sz w:val="14"/>
                <w:szCs w:val="14"/>
                <w:vertAlign w:val="subscript"/>
              </w:rPr>
              <w:t>w</w:t>
            </w:r>
            <w:proofErr w:type="spellEnd"/>
            <w:r>
              <w:rPr>
                <w:rFonts w:ascii="Arial" w:hAnsi="Arial" w:cs="Arial"/>
                <w:sz w:val="20"/>
                <w:szCs w:val="20"/>
              </w:rPr>
              <w:t xml:space="preserve"> or </w:t>
            </w:r>
            <w:proofErr w:type="spellStart"/>
            <w:r>
              <w:rPr>
                <w:rFonts w:ascii="Arial" w:hAnsi="Arial" w:cs="Arial"/>
                <w:sz w:val="20"/>
                <w:szCs w:val="20"/>
              </w:rPr>
              <w:t>X</w:t>
            </w:r>
            <w:r>
              <w:rPr>
                <w:rFonts w:ascii="Arial" w:hAnsi="Arial" w:cs="Arial"/>
                <w:sz w:val="14"/>
                <w:szCs w:val="14"/>
                <w:vertAlign w:val="subscript"/>
              </w:rPr>
              <w:t>k</w:t>
            </w:r>
            <w:proofErr w:type="spellEnd"/>
            <w:r>
              <w:rPr>
                <w:rFonts w:ascii="Arial" w:hAnsi="Arial" w:cs="Arial"/>
                <w:sz w:val="20"/>
                <w:szCs w:val="20"/>
              </w:rPr>
              <w:t xml:space="preserve"> if the owner or operator of the affected facility elects to measure emission rates of the coal or oil using the fuel sampling and analysis procedures under Method 19 of appendix A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(f) Affected facilities subject to the percent reduction requirements under § 60.42c(a) or (b) shall determine compliance with the SO</w:t>
            </w:r>
            <w:r>
              <w:rPr>
                <w:rFonts w:ascii="Arial" w:hAnsi="Arial" w:cs="Arial"/>
                <w:sz w:val="14"/>
                <w:szCs w:val="14"/>
                <w:vertAlign w:val="subscript"/>
              </w:rPr>
              <w:t>2</w:t>
            </w:r>
            <w:r>
              <w:rPr>
                <w:rFonts w:ascii="Arial" w:hAnsi="Arial" w:cs="Arial"/>
                <w:sz w:val="20"/>
                <w:szCs w:val="20"/>
              </w:rPr>
              <w:t xml:space="preserve"> emission limits under § 60.42c pursuant to paragraphs (d) or (e) of this section, and shall determine compliance with the percent reduction requirements using the following procedures:</w:t>
            </w:r>
          </w:p>
          <w:p w:rsidR="00A12ACD" w:rsidRDefault="00A12ACD" w:rsidP="00A12ACD">
            <w:pPr>
              <w:pStyle w:val="NormalWeb"/>
              <w:divId w:val="311909253"/>
              <w:rPr>
                <w:rFonts w:ascii="Arial" w:hAnsi="Arial" w:cs="Arial"/>
                <w:sz w:val="20"/>
                <w:szCs w:val="20"/>
              </w:rPr>
            </w:pPr>
            <w:r>
              <w:rPr>
                <w:rFonts w:ascii="Arial" w:hAnsi="Arial" w:cs="Arial"/>
                <w:sz w:val="20"/>
                <w:szCs w:val="20"/>
              </w:rPr>
              <w:t>(1) If only coal is combusted, the percent of potential SO</w:t>
            </w:r>
            <w:r>
              <w:rPr>
                <w:rFonts w:ascii="Arial" w:hAnsi="Arial" w:cs="Arial"/>
                <w:sz w:val="14"/>
                <w:szCs w:val="14"/>
                <w:vertAlign w:val="subscript"/>
              </w:rPr>
              <w:t>2</w:t>
            </w:r>
            <w:r>
              <w:rPr>
                <w:rFonts w:ascii="Arial" w:hAnsi="Arial" w:cs="Arial"/>
                <w:sz w:val="20"/>
                <w:szCs w:val="20"/>
              </w:rPr>
              <w:t xml:space="preserve"> emission rate is computed using the following formula:</w:t>
            </w:r>
          </w:p>
          <w:p w:rsidR="00A12ACD" w:rsidRDefault="00A12ACD" w:rsidP="00A12ACD">
            <w:pPr>
              <w:divId w:val="311909253"/>
              <w:rPr>
                <w:rFonts w:ascii="Arial" w:eastAsia="Times New Roman" w:hAnsi="Arial" w:cs="Arial"/>
                <w:sz w:val="20"/>
                <w:szCs w:val="20"/>
              </w:rPr>
            </w:pPr>
            <w:r>
              <w:rPr>
                <w:rFonts w:ascii="Arial" w:eastAsia="Times New Roman" w:hAnsi="Arial" w:cs="Arial"/>
                <w:noProof/>
                <w:sz w:val="20"/>
                <w:szCs w:val="20"/>
              </w:rPr>
              <w:drawing>
                <wp:inline distT="0" distB="0" distL="0" distR="0">
                  <wp:extent cx="1752600" cy="419100"/>
                  <wp:effectExtent l="19050" t="0" r="0" b="0"/>
                  <wp:docPr id="38" name="Picture 18" descr="eCFR graphic er13jn07.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r13jn07.034.gif"/>
                          <pic:cNvPicPr>
                            <a:picLocks noChangeAspect="1" noChangeArrowheads="1"/>
                          </pic:cNvPicPr>
                        </pic:nvPicPr>
                        <pic:blipFill>
                          <a:blip r:link="rId16" cstate="print"/>
                          <a:srcRect/>
                          <a:stretch>
                            <a:fillRect/>
                          </a:stretch>
                        </pic:blipFill>
                        <pic:spPr bwMode="auto">
                          <a:xfrm>
                            <a:off x="0" y="0"/>
                            <a:ext cx="1752600" cy="419100"/>
                          </a:xfrm>
                          <a:prstGeom prst="rect">
                            <a:avLst/>
                          </a:prstGeom>
                          <a:noFill/>
                          <a:ln w="9525">
                            <a:noFill/>
                            <a:miter lim="800000"/>
                            <a:headEnd/>
                            <a:tailEnd/>
                          </a:ln>
                        </pic:spPr>
                      </pic:pic>
                    </a:graphicData>
                  </a:graphic>
                </wp:inline>
              </w:drawing>
            </w:r>
          </w:p>
          <w:p w:rsidR="00A12ACD" w:rsidRDefault="00A12ACD" w:rsidP="00A12ACD">
            <w:pPr>
              <w:pStyle w:val="fp"/>
              <w:divId w:val="755126291"/>
              <w:rPr>
                <w:rFonts w:ascii="Arial" w:hAnsi="Arial" w:cs="Arial"/>
                <w:sz w:val="18"/>
                <w:szCs w:val="18"/>
              </w:rPr>
            </w:pPr>
            <w:r>
              <w:rPr>
                <w:rFonts w:ascii="Arial" w:hAnsi="Arial" w:cs="Arial"/>
                <w:sz w:val="18"/>
                <w:szCs w:val="18"/>
              </w:rPr>
              <w:t>Where:</w:t>
            </w:r>
          </w:p>
          <w:p w:rsidR="00A12ACD" w:rsidRDefault="00A12ACD" w:rsidP="00A12ACD">
            <w:pPr>
              <w:pStyle w:val="fp-2"/>
              <w:divId w:val="755126291"/>
              <w:rPr>
                <w:rFonts w:ascii="Arial" w:hAnsi="Arial" w:cs="Arial"/>
                <w:sz w:val="18"/>
                <w:szCs w:val="18"/>
              </w:rPr>
            </w:pPr>
            <w:r>
              <w:rPr>
                <w:rFonts w:ascii="Arial" w:hAnsi="Arial" w:cs="Arial"/>
                <w:sz w:val="18"/>
                <w:szCs w:val="18"/>
              </w:rPr>
              <w:t>%P</w:t>
            </w:r>
            <w:r>
              <w:rPr>
                <w:rFonts w:ascii="Arial" w:hAnsi="Arial" w:cs="Arial"/>
                <w:sz w:val="13"/>
                <w:szCs w:val="13"/>
                <w:vertAlign w:val="subscript"/>
              </w:rPr>
              <w:t>s</w:t>
            </w:r>
            <w:r>
              <w:rPr>
                <w:rFonts w:ascii="Arial" w:hAnsi="Arial" w:cs="Arial"/>
                <w:sz w:val="18"/>
                <w:szCs w:val="18"/>
              </w:rPr>
              <w:t xml:space="preserve"> = Potential SO</w:t>
            </w:r>
            <w:r>
              <w:rPr>
                <w:rFonts w:ascii="Arial" w:hAnsi="Arial" w:cs="Arial"/>
                <w:sz w:val="13"/>
                <w:szCs w:val="13"/>
                <w:vertAlign w:val="subscript"/>
              </w:rPr>
              <w:t>2</w:t>
            </w:r>
            <w:r>
              <w:rPr>
                <w:rFonts w:ascii="Arial" w:hAnsi="Arial" w:cs="Arial"/>
                <w:sz w:val="18"/>
                <w:szCs w:val="18"/>
              </w:rPr>
              <w:t xml:space="preserve"> emission rate, in percent;</w:t>
            </w:r>
          </w:p>
          <w:p w:rsidR="00A12ACD" w:rsidRDefault="00A12ACD" w:rsidP="00A12ACD">
            <w:pPr>
              <w:pStyle w:val="fp-2"/>
              <w:divId w:val="755126291"/>
              <w:rPr>
                <w:rFonts w:ascii="Arial" w:hAnsi="Arial" w:cs="Arial"/>
                <w:sz w:val="18"/>
                <w:szCs w:val="18"/>
              </w:rPr>
            </w:pPr>
            <w:r>
              <w:rPr>
                <w:rFonts w:ascii="Arial" w:hAnsi="Arial" w:cs="Arial"/>
                <w:sz w:val="18"/>
                <w:szCs w:val="18"/>
              </w:rPr>
              <w:t>%</w:t>
            </w:r>
            <w:proofErr w:type="spellStart"/>
            <w:r>
              <w:rPr>
                <w:rFonts w:ascii="Arial" w:hAnsi="Arial" w:cs="Arial"/>
                <w:sz w:val="18"/>
                <w:szCs w:val="18"/>
              </w:rPr>
              <w:t>R</w:t>
            </w:r>
            <w:r>
              <w:rPr>
                <w:rFonts w:ascii="Arial" w:hAnsi="Arial" w:cs="Arial"/>
                <w:sz w:val="13"/>
                <w:szCs w:val="13"/>
                <w:vertAlign w:val="subscript"/>
              </w:rPr>
              <w:t>g</w:t>
            </w:r>
            <w:proofErr w:type="spellEnd"/>
            <w:r>
              <w:rPr>
                <w:rFonts w:ascii="Arial" w:hAnsi="Arial" w:cs="Arial"/>
                <w:sz w:val="18"/>
                <w:szCs w:val="18"/>
              </w:rPr>
              <w:t xml:space="preserve"> = SO</w:t>
            </w:r>
            <w:r>
              <w:rPr>
                <w:rFonts w:ascii="Arial" w:hAnsi="Arial" w:cs="Arial"/>
                <w:sz w:val="13"/>
                <w:szCs w:val="13"/>
                <w:vertAlign w:val="subscript"/>
              </w:rPr>
              <w:t>2</w:t>
            </w:r>
            <w:r>
              <w:rPr>
                <w:rFonts w:ascii="Arial" w:hAnsi="Arial" w:cs="Arial"/>
                <w:sz w:val="18"/>
                <w:szCs w:val="18"/>
              </w:rPr>
              <w:t xml:space="preserve"> removal efficiency of the control device as determined by Method 19 of appendix A of this part, in percent; and</w:t>
            </w:r>
          </w:p>
          <w:p w:rsidR="00A12ACD" w:rsidRDefault="00A12ACD" w:rsidP="00A12ACD">
            <w:pPr>
              <w:pStyle w:val="fp-2"/>
              <w:divId w:val="755126291"/>
              <w:rPr>
                <w:rFonts w:ascii="Arial" w:hAnsi="Arial" w:cs="Arial"/>
                <w:sz w:val="18"/>
                <w:szCs w:val="18"/>
              </w:rPr>
            </w:pPr>
            <w:r>
              <w:rPr>
                <w:rFonts w:ascii="Arial" w:hAnsi="Arial" w:cs="Arial"/>
                <w:sz w:val="18"/>
                <w:szCs w:val="18"/>
              </w:rPr>
              <w:t>%</w:t>
            </w:r>
            <w:proofErr w:type="spellStart"/>
            <w:r>
              <w:rPr>
                <w:rFonts w:ascii="Arial" w:hAnsi="Arial" w:cs="Arial"/>
                <w:sz w:val="18"/>
                <w:szCs w:val="18"/>
              </w:rPr>
              <w:t>R</w:t>
            </w:r>
            <w:r>
              <w:rPr>
                <w:rFonts w:ascii="Arial" w:hAnsi="Arial" w:cs="Arial"/>
                <w:sz w:val="13"/>
                <w:szCs w:val="13"/>
                <w:vertAlign w:val="subscript"/>
              </w:rPr>
              <w:t>f</w:t>
            </w:r>
            <w:proofErr w:type="spellEnd"/>
            <w:r>
              <w:rPr>
                <w:rFonts w:ascii="Arial" w:hAnsi="Arial" w:cs="Arial"/>
                <w:sz w:val="18"/>
                <w:szCs w:val="18"/>
              </w:rPr>
              <w:t xml:space="preserve"> = SO</w:t>
            </w:r>
            <w:r>
              <w:rPr>
                <w:rFonts w:ascii="Arial" w:hAnsi="Arial" w:cs="Arial"/>
                <w:sz w:val="13"/>
                <w:szCs w:val="13"/>
                <w:vertAlign w:val="subscript"/>
              </w:rPr>
              <w:t>2</w:t>
            </w:r>
            <w:r>
              <w:rPr>
                <w:rFonts w:ascii="Arial" w:hAnsi="Arial" w:cs="Arial"/>
                <w:sz w:val="18"/>
                <w:szCs w:val="18"/>
              </w:rPr>
              <w:t xml:space="preserve"> removal efficiency of fuel pretreatment as determined by Method 19 of appendix A of this part, in percent.</w:t>
            </w:r>
          </w:p>
          <w:p w:rsidR="00A12ACD" w:rsidRDefault="00A12ACD" w:rsidP="00A12ACD">
            <w:pPr>
              <w:pStyle w:val="NormalWeb"/>
              <w:divId w:val="311909253"/>
              <w:rPr>
                <w:rFonts w:ascii="Arial" w:hAnsi="Arial" w:cs="Arial"/>
                <w:sz w:val="20"/>
                <w:szCs w:val="20"/>
              </w:rPr>
            </w:pPr>
            <w:r>
              <w:rPr>
                <w:rFonts w:ascii="Arial" w:hAnsi="Arial" w:cs="Arial"/>
                <w:sz w:val="20"/>
                <w:szCs w:val="20"/>
              </w:rPr>
              <w:t>(2) If coal, oil, or coal and oil are combusted with other fuels, the same procedures required in paragraph (f)(1) of this section are used, except as provided for in the following:</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To compute the %P</w:t>
            </w:r>
            <w:r>
              <w:rPr>
                <w:rFonts w:ascii="Arial" w:hAnsi="Arial" w:cs="Arial"/>
                <w:sz w:val="14"/>
                <w:szCs w:val="14"/>
                <w:vertAlign w:val="subscript"/>
              </w:rPr>
              <w:t>s</w:t>
            </w:r>
            <w:r>
              <w:rPr>
                <w:rFonts w:ascii="Arial" w:hAnsi="Arial" w:cs="Arial"/>
                <w:sz w:val="20"/>
                <w:szCs w:val="20"/>
              </w:rPr>
              <w:t xml:space="preserve"> , an adjusted %</w:t>
            </w:r>
            <w:proofErr w:type="spellStart"/>
            <w:r>
              <w:rPr>
                <w:rFonts w:ascii="Arial" w:hAnsi="Arial" w:cs="Arial"/>
                <w:sz w:val="20"/>
                <w:szCs w:val="20"/>
              </w:rPr>
              <w:t>R</w:t>
            </w:r>
            <w:r>
              <w:rPr>
                <w:rFonts w:ascii="Arial" w:hAnsi="Arial" w:cs="Arial"/>
                <w:sz w:val="14"/>
                <w:szCs w:val="14"/>
                <w:vertAlign w:val="subscript"/>
              </w:rPr>
              <w:t>g</w:t>
            </w:r>
            <w:proofErr w:type="spellEnd"/>
            <w:r>
              <w:rPr>
                <w:rFonts w:ascii="Arial" w:hAnsi="Arial" w:cs="Arial"/>
                <w:sz w:val="20"/>
                <w:szCs w:val="20"/>
              </w:rPr>
              <w:t xml:space="preserve"> (%</w:t>
            </w:r>
            <w:proofErr w:type="spellStart"/>
            <w:r>
              <w:rPr>
                <w:rFonts w:ascii="Arial" w:hAnsi="Arial" w:cs="Arial"/>
                <w:sz w:val="20"/>
                <w:szCs w:val="20"/>
              </w:rPr>
              <w:t>R</w:t>
            </w:r>
            <w:r>
              <w:rPr>
                <w:rFonts w:ascii="Arial" w:hAnsi="Arial" w:cs="Arial"/>
                <w:sz w:val="14"/>
                <w:szCs w:val="14"/>
                <w:vertAlign w:val="subscript"/>
              </w:rPr>
              <w:t>g</w:t>
            </w:r>
            <w:proofErr w:type="spellEnd"/>
            <w:r>
              <w:rPr>
                <w:rFonts w:ascii="Arial" w:hAnsi="Arial" w:cs="Arial"/>
                <w:sz w:val="20"/>
                <w:szCs w:val="20"/>
              </w:rPr>
              <w:t xml:space="preserve"> o) is computed from </w:t>
            </w:r>
            <w:proofErr w:type="spellStart"/>
            <w:r>
              <w:rPr>
                <w:rFonts w:ascii="Arial" w:hAnsi="Arial" w:cs="Arial"/>
                <w:sz w:val="20"/>
                <w:szCs w:val="20"/>
              </w:rPr>
              <w:t>E</w:t>
            </w:r>
            <w:r>
              <w:rPr>
                <w:rFonts w:ascii="Arial" w:hAnsi="Arial" w:cs="Arial"/>
                <w:sz w:val="14"/>
                <w:szCs w:val="14"/>
                <w:vertAlign w:val="subscript"/>
              </w:rPr>
              <w:t>ao</w:t>
            </w:r>
            <w:proofErr w:type="spellEnd"/>
            <w:r>
              <w:rPr>
                <w:rFonts w:ascii="Arial" w:hAnsi="Arial" w:cs="Arial"/>
                <w:sz w:val="20"/>
                <w:szCs w:val="20"/>
              </w:rPr>
              <w:t xml:space="preserve"> o from paragraph (e)(1) of this section and an adjusted average SO</w:t>
            </w:r>
            <w:r>
              <w:rPr>
                <w:rFonts w:ascii="Arial" w:hAnsi="Arial" w:cs="Arial"/>
                <w:sz w:val="14"/>
                <w:szCs w:val="14"/>
                <w:vertAlign w:val="subscript"/>
              </w:rPr>
              <w:t>2</w:t>
            </w:r>
            <w:r>
              <w:rPr>
                <w:rFonts w:ascii="Arial" w:hAnsi="Arial" w:cs="Arial"/>
                <w:sz w:val="20"/>
                <w:szCs w:val="20"/>
              </w:rPr>
              <w:t xml:space="preserve"> inlet rate (</w:t>
            </w:r>
            <w:proofErr w:type="spellStart"/>
            <w:r>
              <w:rPr>
                <w:rFonts w:ascii="Arial" w:hAnsi="Arial" w:cs="Arial"/>
                <w:sz w:val="20"/>
                <w:szCs w:val="20"/>
              </w:rPr>
              <w:t>E</w:t>
            </w:r>
            <w:r>
              <w:rPr>
                <w:rFonts w:ascii="Arial" w:hAnsi="Arial" w:cs="Arial"/>
                <w:sz w:val="14"/>
                <w:szCs w:val="14"/>
                <w:vertAlign w:val="subscript"/>
              </w:rPr>
              <w:t>ai</w:t>
            </w:r>
            <w:proofErr w:type="spellEnd"/>
            <w:r>
              <w:rPr>
                <w:rFonts w:ascii="Arial" w:hAnsi="Arial" w:cs="Arial"/>
                <w:sz w:val="20"/>
                <w:szCs w:val="20"/>
              </w:rPr>
              <w:t xml:space="preserve"> o) using the following formula:</w:t>
            </w:r>
          </w:p>
          <w:p w:rsidR="00A12ACD" w:rsidRDefault="00A12ACD" w:rsidP="00A12ACD">
            <w:pPr>
              <w:divId w:val="311909253"/>
              <w:rPr>
                <w:rFonts w:ascii="Arial" w:eastAsia="Times New Roman" w:hAnsi="Arial" w:cs="Arial"/>
                <w:sz w:val="20"/>
                <w:szCs w:val="20"/>
              </w:rPr>
            </w:pPr>
            <w:r>
              <w:rPr>
                <w:rFonts w:ascii="Arial" w:eastAsia="Times New Roman" w:hAnsi="Arial" w:cs="Arial"/>
                <w:noProof/>
                <w:sz w:val="20"/>
                <w:szCs w:val="20"/>
              </w:rPr>
              <w:drawing>
                <wp:inline distT="0" distB="0" distL="0" distR="0">
                  <wp:extent cx="1162050" cy="419100"/>
                  <wp:effectExtent l="19050" t="0" r="0" b="0"/>
                  <wp:docPr id="39" name="Picture 19" descr="eCFR graphic er13jn07.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CFR graphic er13jn07.035.gif"/>
                          <pic:cNvPicPr>
                            <a:picLocks noChangeAspect="1" noChangeArrowheads="1"/>
                          </pic:cNvPicPr>
                        </pic:nvPicPr>
                        <pic:blipFill>
                          <a:blip r:link="rId17" cstate="print"/>
                          <a:srcRect/>
                          <a:stretch>
                            <a:fillRect/>
                          </a:stretch>
                        </pic:blipFill>
                        <pic:spPr bwMode="auto">
                          <a:xfrm>
                            <a:off x="0" y="0"/>
                            <a:ext cx="1162050" cy="419100"/>
                          </a:xfrm>
                          <a:prstGeom prst="rect">
                            <a:avLst/>
                          </a:prstGeom>
                          <a:noFill/>
                          <a:ln w="9525">
                            <a:noFill/>
                            <a:miter lim="800000"/>
                            <a:headEnd/>
                            <a:tailEnd/>
                          </a:ln>
                        </pic:spPr>
                      </pic:pic>
                    </a:graphicData>
                  </a:graphic>
                </wp:inline>
              </w:drawing>
            </w:r>
          </w:p>
          <w:p w:rsidR="00A12ACD" w:rsidRDefault="00A12ACD" w:rsidP="00A12ACD">
            <w:pPr>
              <w:pStyle w:val="fp"/>
              <w:divId w:val="2046176828"/>
              <w:rPr>
                <w:rFonts w:ascii="Arial" w:hAnsi="Arial" w:cs="Arial"/>
                <w:sz w:val="18"/>
                <w:szCs w:val="18"/>
              </w:rPr>
            </w:pPr>
            <w:r>
              <w:rPr>
                <w:rFonts w:ascii="Arial" w:hAnsi="Arial" w:cs="Arial"/>
                <w:sz w:val="18"/>
                <w:szCs w:val="18"/>
              </w:rPr>
              <w:t>Where:</w:t>
            </w:r>
          </w:p>
          <w:p w:rsidR="00A12ACD" w:rsidRDefault="00A12ACD" w:rsidP="00A12ACD">
            <w:pPr>
              <w:pStyle w:val="fp-2"/>
              <w:divId w:val="2046176828"/>
              <w:rPr>
                <w:rFonts w:ascii="Arial" w:hAnsi="Arial" w:cs="Arial"/>
                <w:sz w:val="18"/>
                <w:szCs w:val="18"/>
              </w:rPr>
            </w:pPr>
            <w:r>
              <w:rPr>
                <w:rFonts w:ascii="Arial" w:hAnsi="Arial" w:cs="Arial"/>
                <w:sz w:val="18"/>
                <w:szCs w:val="18"/>
              </w:rPr>
              <w:t>%</w:t>
            </w:r>
            <w:proofErr w:type="spellStart"/>
            <w:r>
              <w:rPr>
                <w:rFonts w:ascii="Arial" w:hAnsi="Arial" w:cs="Arial"/>
                <w:sz w:val="18"/>
                <w:szCs w:val="18"/>
              </w:rPr>
              <w:t>R</w:t>
            </w:r>
            <w:r>
              <w:rPr>
                <w:rFonts w:ascii="Arial" w:hAnsi="Arial" w:cs="Arial"/>
                <w:sz w:val="13"/>
                <w:szCs w:val="13"/>
                <w:vertAlign w:val="subscript"/>
              </w:rPr>
              <w:t>g</w:t>
            </w:r>
            <w:proofErr w:type="spellEnd"/>
            <w:r>
              <w:rPr>
                <w:rFonts w:ascii="Arial" w:hAnsi="Arial" w:cs="Arial"/>
                <w:sz w:val="18"/>
                <w:szCs w:val="18"/>
              </w:rPr>
              <w:t xml:space="preserve"> o = Adjusted %</w:t>
            </w:r>
            <w:proofErr w:type="spellStart"/>
            <w:r>
              <w:rPr>
                <w:rFonts w:ascii="Arial" w:hAnsi="Arial" w:cs="Arial"/>
                <w:sz w:val="18"/>
                <w:szCs w:val="18"/>
              </w:rPr>
              <w:t>R</w:t>
            </w:r>
            <w:r>
              <w:rPr>
                <w:rFonts w:ascii="Arial" w:hAnsi="Arial" w:cs="Arial"/>
                <w:sz w:val="13"/>
                <w:szCs w:val="13"/>
                <w:vertAlign w:val="subscript"/>
              </w:rPr>
              <w:t>g</w:t>
            </w:r>
            <w:proofErr w:type="spellEnd"/>
            <w:r>
              <w:rPr>
                <w:rFonts w:ascii="Arial" w:hAnsi="Arial" w:cs="Arial"/>
                <w:sz w:val="18"/>
                <w:szCs w:val="18"/>
              </w:rPr>
              <w:t xml:space="preserve"> , in percent;</w:t>
            </w:r>
          </w:p>
          <w:p w:rsidR="00A12ACD" w:rsidRDefault="00A12ACD" w:rsidP="00A12ACD">
            <w:pPr>
              <w:pStyle w:val="fp-2"/>
              <w:divId w:val="2046176828"/>
              <w:rPr>
                <w:rFonts w:ascii="Arial" w:hAnsi="Arial" w:cs="Arial"/>
                <w:sz w:val="18"/>
                <w:szCs w:val="18"/>
              </w:rPr>
            </w:pPr>
            <w:proofErr w:type="spellStart"/>
            <w:r>
              <w:rPr>
                <w:rFonts w:ascii="Arial" w:hAnsi="Arial" w:cs="Arial"/>
                <w:sz w:val="18"/>
                <w:szCs w:val="18"/>
              </w:rPr>
              <w:t>E</w:t>
            </w:r>
            <w:r>
              <w:rPr>
                <w:rFonts w:ascii="Arial" w:hAnsi="Arial" w:cs="Arial"/>
                <w:sz w:val="13"/>
                <w:szCs w:val="13"/>
                <w:vertAlign w:val="subscript"/>
              </w:rPr>
              <w:t>ao</w:t>
            </w:r>
            <w:proofErr w:type="spellEnd"/>
            <w:r>
              <w:rPr>
                <w:rFonts w:ascii="Arial" w:hAnsi="Arial" w:cs="Arial"/>
                <w:sz w:val="18"/>
                <w:szCs w:val="18"/>
              </w:rPr>
              <w:t xml:space="preserve"> o = Adjusted </w:t>
            </w:r>
            <w:proofErr w:type="spellStart"/>
            <w:r>
              <w:rPr>
                <w:rFonts w:ascii="Arial" w:hAnsi="Arial" w:cs="Arial"/>
                <w:sz w:val="18"/>
                <w:szCs w:val="18"/>
              </w:rPr>
              <w:t>E</w:t>
            </w:r>
            <w:r>
              <w:rPr>
                <w:rFonts w:ascii="Arial" w:hAnsi="Arial" w:cs="Arial"/>
                <w:sz w:val="13"/>
                <w:szCs w:val="13"/>
                <w:vertAlign w:val="subscript"/>
              </w:rPr>
              <w:t>ao</w:t>
            </w:r>
            <w:proofErr w:type="spellEnd"/>
            <w:r>
              <w:rPr>
                <w:rFonts w:ascii="Arial" w:hAnsi="Arial" w:cs="Arial"/>
                <w:sz w:val="18"/>
                <w:szCs w:val="18"/>
              </w:rPr>
              <w:t xml:space="preserve"> , </w:t>
            </w:r>
            <w:proofErr w:type="spellStart"/>
            <w:r>
              <w:rPr>
                <w:rFonts w:ascii="Arial" w:hAnsi="Arial" w:cs="Arial"/>
                <w:sz w:val="18"/>
                <w:szCs w:val="18"/>
              </w:rPr>
              <w:t>ng</w:t>
            </w:r>
            <w:proofErr w:type="spellEnd"/>
            <w:r>
              <w:rPr>
                <w:rFonts w:ascii="Arial" w:hAnsi="Arial" w:cs="Arial"/>
                <w:sz w:val="18"/>
                <w:szCs w:val="18"/>
              </w:rPr>
              <w:t>/J (lb/MMBtu); and</w:t>
            </w:r>
          </w:p>
          <w:p w:rsidR="00A12ACD" w:rsidRDefault="00A12ACD" w:rsidP="00A12ACD">
            <w:pPr>
              <w:pStyle w:val="fp-2"/>
              <w:divId w:val="2046176828"/>
              <w:rPr>
                <w:rFonts w:ascii="Arial" w:hAnsi="Arial" w:cs="Arial"/>
                <w:sz w:val="18"/>
                <w:szCs w:val="18"/>
              </w:rPr>
            </w:pPr>
            <w:proofErr w:type="spellStart"/>
            <w:r>
              <w:rPr>
                <w:rFonts w:ascii="Arial" w:hAnsi="Arial" w:cs="Arial"/>
                <w:sz w:val="18"/>
                <w:szCs w:val="18"/>
              </w:rPr>
              <w:t>E</w:t>
            </w:r>
            <w:r>
              <w:rPr>
                <w:rFonts w:ascii="Arial" w:hAnsi="Arial" w:cs="Arial"/>
                <w:sz w:val="13"/>
                <w:szCs w:val="13"/>
                <w:vertAlign w:val="subscript"/>
              </w:rPr>
              <w:t>ai</w:t>
            </w:r>
            <w:proofErr w:type="spellEnd"/>
            <w:r>
              <w:rPr>
                <w:rFonts w:ascii="Arial" w:hAnsi="Arial" w:cs="Arial"/>
                <w:sz w:val="18"/>
                <w:szCs w:val="18"/>
              </w:rPr>
              <w:t xml:space="preserve"> o = Adjusted average SO</w:t>
            </w:r>
            <w:r>
              <w:rPr>
                <w:rFonts w:ascii="Arial" w:hAnsi="Arial" w:cs="Arial"/>
                <w:sz w:val="13"/>
                <w:szCs w:val="13"/>
                <w:vertAlign w:val="subscript"/>
              </w:rPr>
              <w:t>2</w:t>
            </w:r>
            <w:r>
              <w:rPr>
                <w:rFonts w:ascii="Arial" w:hAnsi="Arial" w:cs="Arial"/>
                <w:sz w:val="18"/>
                <w:szCs w:val="18"/>
              </w:rPr>
              <w:t xml:space="preserve"> inlet rate, </w:t>
            </w:r>
            <w:proofErr w:type="spellStart"/>
            <w:r>
              <w:rPr>
                <w:rFonts w:ascii="Arial" w:hAnsi="Arial" w:cs="Arial"/>
                <w:sz w:val="18"/>
                <w:szCs w:val="18"/>
              </w:rPr>
              <w:t>ng</w:t>
            </w:r>
            <w:proofErr w:type="spellEnd"/>
            <w:r>
              <w:rPr>
                <w:rFonts w:ascii="Arial" w:hAnsi="Arial" w:cs="Arial"/>
                <w:sz w:val="18"/>
                <w:szCs w:val="18"/>
              </w:rPr>
              <w:t>/J (lb/MMBtu).</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(ii) To compute </w:t>
            </w:r>
            <w:proofErr w:type="spellStart"/>
            <w:r>
              <w:rPr>
                <w:rFonts w:ascii="Arial" w:hAnsi="Arial" w:cs="Arial"/>
                <w:sz w:val="20"/>
                <w:szCs w:val="20"/>
              </w:rPr>
              <w:t>E</w:t>
            </w:r>
            <w:r>
              <w:rPr>
                <w:rFonts w:ascii="Arial" w:hAnsi="Arial" w:cs="Arial"/>
                <w:sz w:val="14"/>
                <w:szCs w:val="14"/>
                <w:vertAlign w:val="subscript"/>
              </w:rPr>
              <w:t>ai</w:t>
            </w:r>
            <w:proofErr w:type="spellEnd"/>
            <w:r>
              <w:rPr>
                <w:rFonts w:ascii="Arial" w:hAnsi="Arial" w:cs="Arial"/>
                <w:sz w:val="20"/>
                <w:szCs w:val="20"/>
              </w:rPr>
              <w:t xml:space="preserve"> o, an adjusted hourly SO</w:t>
            </w:r>
            <w:r>
              <w:rPr>
                <w:rFonts w:ascii="Arial" w:hAnsi="Arial" w:cs="Arial"/>
                <w:sz w:val="14"/>
                <w:szCs w:val="14"/>
                <w:vertAlign w:val="subscript"/>
              </w:rPr>
              <w:t>2</w:t>
            </w:r>
            <w:r>
              <w:rPr>
                <w:rFonts w:ascii="Arial" w:hAnsi="Arial" w:cs="Arial"/>
                <w:sz w:val="20"/>
                <w:szCs w:val="20"/>
              </w:rPr>
              <w:t xml:space="preserve"> inlet rate (</w:t>
            </w:r>
            <w:proofErr w:type="spellStart"/>
            <w:r>
              <w:rPr>
                <w:rFonts w:ascii="Arial" w:hAnsi="Arial" w:cs="Arial"/>
                <w:sz w:val="20"/>
                <w:szCs w:val="20"/>
              </w:rPr>
              <w:t>E</w:t>
            </w:r>
            <w:r>
              <w:rPr>
                <w:rFonts w:ascii="Arial" w:hAnsi="Arial" w:cs="Arial"/>
                <w:sz w:val="14"/>
                <w:szCs w:val="14"/>
                <w:vertAlign w:val="subscript"/>
              </w:rPr>
              <w:t>hi</w:t>
            </w:r>
            <w:proofErr w:type="spellEnd"/>
            <w:r>
              <w:rPr>
                <w:rFonts w:ascii="Arial" w:hAnsi="Arial" w:cs="Arial"/>
                <w:sz w:val="20"/>
                <w:szCs w:val="20"/>
              </w:rPr>
              <w:t xml:space="preserve"> o) is used. The </w:t>
            </w:r>
            <w:proofErr w:type="spellStart"/>
            <w:r>
              <w:rPr>
                <w:rFonts w:ascii="Arial" w:hAnsi="Arial" w:cs="Arial"/>
                <w:sz w:val="20"/>
                <w:szCs w:val="20"/>
              </w:rPr>
              <w:t>E</w:t>
            </w:r>
            <w:r>
              <w:rPr>
                <w:rFonts w:ascii="Arial" w:hAnsi="Arial" w:cs="Arial"/>
                <w:sz w:val="14"/>
                <w:szCs w:val="14"/>
                <w:vertAlign w:val="subscript"/>
              </w:rPr>
              <w:t>hi</w:t>
            </w:r>
            <w:proofErr w:type="spellEnd"/>
            <w:r>
              <w:rPr>
                <w:rFonts w:ascii="Arial" w:hAnsi="Arial" w:cs="Arial"/>
                <w:sz w:val="20"/>
                <w:szCs w:val="20"/>
              </w:rPr>
              <w:t xml:space="preserve"> o is computed using the following formula:</w:t>
            </w:r>
          </w:p>
          <w:p w:rsidR="00A12ACD" w:rsidRDefault="00A12ACD" w:rsidP="00A12ACD">
            <w:pPr>
              <w:divId w:val="311909253"/>
              <w:rPr>
                <w:rFonts w:ascii="Arial" w:eastAsia="Times New Roman" w:hAnsi="Arial" w:cs="Arial"/>
                <w:sz w:val="20"/>
                <w:szCs w:val="20"/>
              </w:rPr>
            </w:pPr>
            <w:r>
              <w:rPr>
                <w:rFonts w:ascii="Arial" w:eastAsia="Times New Roman" w:hAnsi="Arial" w:cs="Arial"/>
                <w:noProof/>
                <w:sz w:val="20"/>
                <w:szCs w:val="20"/>
              </w:rPr>
              <w:drawing>
                <wp:inline distT="0" distB="0" distL="0" distR="0">
                  <wp:extent cx="1266825" cy="390525"/>
                  <wp:effectExtent l="19050" t="0" r="9525" b="0"/>
                  <wp:docPr id="40" name="Picture 20" descr="eCFR graphic er13jn07.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FR graphic er13jn07.036.gif"/>
                          <pic:cNvPicPr>
                            <a:picLocks noChangeAspect="1" noChangeArrowheads="1"/>
                          </pic:cNvPicPr>
                        </pic:nvPicPr>
                        <pic:blipFill>
                          <a:blip r:link="rId18" cstate="print"/>
                          <a:srcRect/>
                          <a:stretch>
                            <a:fillRect/>
                          </a:stretch>
                        </pic:blipFill>
                        <pic:spPr bwMode="auto">
                          <a:xfrm>
                            <a:off x="0" y="0"/>
                            <a:ext cx="1266825" cy="390525"/>
                          </a:xfrm>
                          <a:prstGeom prst="rect">
                            <a:avLst/>
                          </a:prstGeom>
                          <a:noFill/>
                          <a:ln w="9525">
                            <a:noFill/>
                            <a:miter lim="800000"/>
                            <a:headEnd/>
                            <a:tailEnd/>
                          </a:ln>
                        </pic:spPr>
                      </pic:pic>
                    </a:graphicData>
                  </a:graphic>
                </wp:inline>
              </w:drawing>
            </w:r>
          </w:p>
          <w:p w:rsidR="00A12ACD" w:rsidRDefault="00A12ACD" w:rsidP="00A12ACD">
            <w:pPr>
              <w:pStyle w:val="fp"/>
              <w:divId w:val="1028532138"/>
              <w:rPr>
                <w:rFonts w:ascii="Arial" w:hAnsi="Arial" w:cs="Arial"/>
                <w:sz w:val="18"/>
                <w:szCs w:val="18"/>
              </w:rPr>
            </w:pPr>
            <w:r>
              <w:rPr>
                <w:rFonts w:ascii="Arial" w:hAnsi="Arial" w:cs="Arial"/>
                <w:sz w:val="18"/>
                <w:szCs w:val="18"/>
              </w:rPr>
              <w:t>Where:</w:t>
            </w:r>
          </w:p>
          <w:p w:rsidR="00A12ACD" w:rsidRDefault="00A12ACD" w:rsidP="00A12ACD">
            <w:pPr>
              <w:pStyle w:val="fp-2"/>
              <w:divId w:val="1028532138"/>
              <w:rPr>
                <w:rFonts w:ascii="Arial" w:hAnsi="Arial" w:cs="Arial"/>
                <w:sz w:val="18"/>
                <w:szCs w:val="18"/>
              </w:rPr>
            </w:pPr>
            <w:proofErr w:type="spellStart"/>
            <w:r>
              <w:rPr>
                <w:rFonts w:ascii="Arial" w:hAnsi="Arial" w:cs="Arial"/>
                <w:sz w:val="18"/>
                <w:szCs w:val="18"/>
              </w:rPr>
              <w:t>E</w:t>
            </w:r>
            <w:r>
              <w:rPr>
                <w:rFonts w:ascii="Arial" w:hAnsi="Arial" w:cs="Arial"/>
                <w:sz w:val="13"/>
                <w:szCs w:val="13"/>
                <w:vertAlign w:val="subscript"/>
              </w:rPr>
              <w:t>hi</w:t>
            </w:r>
            <w:proofErr w:type="spellEnd"/>
            <w:r>
              <w:rPr>
                <w:rFonts w:ascii="Arial" w:hAnsi="Arial" w:cs="Arial"/>
                <w:sz w:val="18"/>
                <w:szCs w:val="18"/>
              </w:rPr>
              <w:t xml:space="preserve"> o = Adjusted </w:t>
            </w:r>
            <w:proofErr w:type="spellStart"/>
            <w:r>
              <w:rPr>
                <w:rFonts w:ascii="Arial" w:hAnsi="Arial" w:cs="Arial"/>
                <w:sz w:val="18"/>
                <w:szCs w:val="18"/>
              </w:rPr>
              <w:t>E</w:t>
            </w:r>
            <w:r>
              <w:rPr>
                <w:rFonts w:ascii="Arial" w:hAnsi="Arial" w:cs="Arial"/>
                <w:sz w:val="13"/>
                <w:szCs w:val="13"/>
                <w:vertAlign w:val="subscript"/>
              </w:rPr>
              <w:t>hi</w:t>
            </w:r>
            <w:proofErr w:type="spellEnd"/>
            <w:r>
              <w:rPr>
                <w:rFonts w:ascii="Arial" w:hAnsi="Arial" w:cs="Arial"/>
                <w:sz w:val="18"/>
                <w:szCs w:val="18"/>
              </w:rPr>
              <w:t xml:space="preserve"> , </w:t>
            </w:r>
            <w:proofErr w:type="spellStart"/>
            <w:r>
              <w:rPr>
                <w:rFonts w:ascii="Arial" w:hAnsi="Arial" w:cs="Arial"/>
                <w:sz w:val="18"/>
                <w:szCs w:val="18"/>
              </w:rPr>
              <w:t>ng</w:t>
            </w:r>
            <w:proofErr w:type="spellEnd"/>
            <w:r>
              <w:rPr>
                <w:rFonts w:ascii="Arial" w:hAnsi="Arial" w:cs="Arial"/>
                <w:sz w:val="18"/>
                <w:szCs w:val="18"/>
              </w:rPr>
              <w:t>/J (lb/MMBtu);</w:t>
            </w:r>
          </w:p>
          <w:p w:rsidR="00A12ACD" w:rsidRDefault="00A12ACD" w:rsidP="00A12ACD">
            <w:pPr>
              <w:pStyle w:val="fp-2"/>
              <w:divId w:val="1028532138"/>
              <w:rPr>
                <w:rFonts w:ascii="Arial" w:hAnsi="Arial" w:cs="Arial"/>
                <w:sz w:val="18"/>
                <w:szCs w:val="18"/>
              </w:rPr>
            </w:pPr>
            <w:proofErr w:type="spellStart"/>
            <w:r>
              <w:rPr>
                <w:rFonts w:ascii="Arial" w:hAnsi="Arial" w:cs="Arial"/>
                <w:sz w:val="18"/>
                <w:szCs w:val="18"/>
              </w:rPr>
              <w:t>E</w:t>
            </w:r>
            <w:r>
              <w:rPr>
                <w:rFonts w:ascii="Arial" w:hAnsi="Arial" w:cs="Arial"/>
                <w:sz w:val="13"/>
                <w:szCs w:val="13"/>
                <w:vertAlign w:val="subscript"/>
              </w:rPr>
              <w:t>hi</w:t>
            </w:r>
            <w:proofErr w:type="spellEnd"/>
            <w:r>
              <w:rPr>
                <w:rFonts w:ascii="Arial" w:hAnsi="Arial" w:cs="Arial"/>
                <w:sz w:val="18"/>
                <w:szCs w:val="18"/>
              </w:rPr>
              <w:t xml:space="preserve"> = Hourly SO</w:t>
            </w:r>
            <w:r>
              <w:rPr>
                <w:rFonts w:ascii="Arial" w:hAnsi="Arial" w:cs="Arial"/>
                <w:sz w:val="13"/>
                <w:szCs w:val="13"/>
                <w:vertAlign w:val="subscript"/>
              </w:rPr>
              <w:t>2</w:t>
            </w:r>
            <w:r>
              <w:rPr>
                <w:rFonts w:ascii="Arial" w:hAnsi="Arial" w:cs="Arial"/>
                <w:sz w:val="18"/>
                <w:szCs w:val="18"/>
              </w:rPr>
              <w:t xml:space="preserve"> inlet rate, </w:t>
            </w:r>
            <w:proofErr w:type="spellStart"/>
            <w:r>
              <w:rPr>
                <w:rFonts w:ascii="Arial" w:hAnsi="Arial" w:cs="Arial"/>
                <w:sz w:val="18"/>
                <w:szCs w:val="18"/>
              </w:rPr>
              <w:t>ng</w:t>
            </w:r>
            <w:proofErr w:type="spellEnd"/>
            <w:r>
              <w:rPr>
                <w:rFonts w:ascii="Arial" w:hAnsi="Arial" w:cs="Arial"/>
                <w:sz w:val="18"/>
                <w:szCs w:val="18"/>
              </w:rPr>
              <w:t>/J (lb/MMBtu);</w:t>
            </w:r>
          </w:p>
          <w:p w:rsidR="00A12ACD" w:rsidRDefault="00A12ACD" w:rsidP="00A12ACD">
            <w:pPr>
              <w:pStyle w:val="fp-2"/>
              <w:divId w:val="1028532138"/>
              <w:rPr>
                <w:rFonts w:ascii="Arial" w:hAnsi="Arial" w:cs="Arial"/>
                <w:sz w:val="18"/>
                <w:szCs w:val="18"/>
              </w:rPr>
            </w:pPr>
            <w:proofErr w:type="spellStart"/>
            <w:r>
              <w:rPr>
                <w:rFonts w:ascii="Arial" w:hAnsi="Arial" w:cs="Arial"/>
                <w:sz w:val="18"/>
                <w:szCs w:val="18"/>
              </w:rPr>
              <w:t>E</w:t>
            </w:r>
            <w:r>
              <w:rPr>
                <w:rFonts w:ascii="Arial" w:hAnsi="Arial" w:cs="Arial"/>
                <w:sz w:val="13"/>
                <w:szCs w:val="13"/>
                <w:vertAlign w:val="subscript"/>
              </w:rPr>
              <w:t>w</w:t>
            </w:r>
            <w:proofErr w:type="spellEnd"/>
            <w:r>
              <w:rPr>
                <w:rFonts w:ascii="Arial" w:hAnsi="Arial" w:cs="Arial"/>
                <w:sz w:val="18"/>
                <w:szCs w:val="18"/>
              </w:rPr>
              <w:t xml:space="preserve"> = SO</w:t>
            </w:r>
            <w:r>
              <w:rPr>
                <w:rFonts w:ascii="Arial" w:hAnsi="Arial" w:cs="Arial"/>
                <w:sz w:val="13"/>
                <w:szCs w:val="13"/>
                <w:vertAlign w:val="subscript"/>
              </w:rPr>
              <w:t>2</w:t>
            </w:r>
            <w:r>
              <w:rPr>
                <w:rFonts w:ascii="Arial" w:hAnsi="Arial" w:cs="Arial"/>
                <w:sz w:val="18"/>
                <w:szCs w:val="18"/>
              </w:rPr>
              <w:t xml:space="preserve"> concentration in fuels other than coal and oil combusted in the affected facility, as determined by fuel sampling and analysis procedures in Method 19 of appendix A of this part, </w:t>
            </w:r>
            <w:proofErr w:type="spellStart"/>
            <w:r>
              <w:rPr>
                <w:rFonts w:ascii="Arial" w:hAnsi="Arial" w:cs="Arial"/>
                <w:sz w:val="18"/>
                <w:szCs w:val="18"/>
              </w:rPr>
              <w:t>ng</w:t>
            </w:r>
            <w:proofErr w:type="spellEnd"/>
            <w:r>
              <w:rPr>
                <w:rFonts w:ascii="Arial" w:hAnsi="Arial" w:cs="Arial"/>
                <w:sz w:val="18"/>
                <w:szCs w:val="18"/>
              </w:rPr>
              <w:t xml:space="preserve">/J (lb/MMBtu). The value </w:t>
            </w:r>
            <w:proofErr w:type="spellStart"/>
            <w:r>
              <w:rPr>
                <w:rFonts w:ascii="Arial" w:hAnsi="Arial" w:cs="Arial"/>
                <w:sz w:val="18"/>
                <w:szCs w:val="18"/>
              </w:rPr>
              <w:t>E</w:t>
            </w:r>
            <w:r>
              <w:rPr>
                <w:rFonts w:ascii="Arial" w:hAnsi="Arial" w:cs="Arial"/>
                <w:sz w:val="13"/>
                <w:szCs w:val="13"/>
                <w:vertAlign w:val="subscript"/>
              </w:rPr>
              <w:t>w</w:t>
            </w:r>
            <w:proofErr w:type="spellEnd"/>
            <w:r>
              <w:rPr>
                <w:rFonts w:ascii="Arial" w:hAnsi="Arial" w:cs="Arial"/>
                <w:sz w:val="18"/>
                <w:szCs w:val="18"/>
              </w:rPr>
              <w:t xml:space="preserve"> for each fuel lot is used for each hourly average during the time that the lot is being combusted. The owner or operator does not have to measure </w:t>
            </w:r>
            <w:proofErr w:type="spellStart"/>
            <w:r>
              <w:rPr>
                <w:rFonts w:ascii="Arial" w:hAnsi="Arial" w:cs="Arial"/>
                <w:sz w:val="18"/>
                <w:szCs w:val="18"/>
              </w:rPr>
              <w:t>E</w:t>
            </w:r>
            <w:r>
              <w:rPr>
                <w:rFonts w:ascii="Arial" w:hAnsi="Arial" w:cs="Arial"/>
                <w:sz w:val="13"/>
                <w:szCs w:val="13"/>
                <w:vertAlign w:val="subscript"/>
              </w:rPr>
              <w:t>w</w:t>
            </w:r>
            <w:proofErr w:type="spellEnd"/>
            <w:r>
              <w:rPr>
                <w:rFonts w:ascii="Arial" w:hAnsi="Arial" w:cs="Arial"/>
                <w:sz w:val="18"/>
                <w:szCs w:val="18"/>
              </w:rPr>
              <w:t xml:space="preserve"> if the owner or operator elects to assume </w:t>
            </w:r>
            <w:proofErr w:type="spellStart"/>
            <w:r>
              <w:rPr>
                <w:rFonts w:ascii="Arial" w:hAnsi="Arial" w:cs="Arial"/>
                <w:sz w:val="18"/>
                <w:szCs w:val="18"/>
              </w:rPr>
              <w:t>E</w:t>
            </w:r>
            <w:r>
              <w:rPr>
                <w:rFonts w:ascii="Arial" w:hAnsi="Arial" w:cs="Arial"/>
                <w:sz w:val="13"/>
                <w:szCs w:val="13"/>
                <w:vertAlign w:val="subscript"/>
              </w:rPr>
              <w:t>w</w:t>
            </w:r>
            <w:proofErr w:type="spellEnd"/>
            <w:r>
              <w:rPr>
                <w:rFonts w:ascii="Arial" w:hAnsi="Arial" w:cs="Arial"/>
                <w:sz w:val="18"/>
                <w:szCs w:val="18"/>
              </w:rPr>
              <w:t xml:space="preserve"> = 0; and</w:t>
            </w:r>
          </w:p>
          <w:p w:rsidR="00A12ACD" w:rsidRDefault="00A12ACD" w:rsidP="00A12ACD">
            <w:pPr>
              <w:pStyle w:val="fp-2"/>
              <w:divId w:val="1028532138"/>
              <w:rPr>
                <w:rFonts w:ascii="Arial" w:hAnsi="Arial" w:cs="Arial"/>
                <w:sz w:val="18"/>
                <w:szCs w:val="18"/>
              </w:rPr>
            </w:pPr>
            <w:proofErr w:type="spellStart"/>
            <w:r>
              <w:rPr>
                <w:rFonts w:ascii="Arial" w:hAnsi="Arial" w:cs="Arial"/>
                <w:sz w:val="18"/>
                <w:szCs w:val="18"/>
              </w:rPr>
              <w:t>X</w:t>
            </w:r>
            <w:r>
              <w:rPr>
                <w:rFonts w:ascii="Arial" w:hAnsi="Arial" w:cs="Arial"/>
                <w:sz w:val="13"/>
                <w:szCs w:val="13"/>
                <w:vertAlign w:val="subscript"/>
              </w:rPr>
              <w:t>k</w:t>
            </w:r>
            <w:proofErr w:type="spellEnd"/>
            <w:r>
              <w:rPr>
                <w:rFonts w:ascii="Arial" w:hAnsi="Arial" w:cs="Arial"/>
                <w:sz w:val="18"/>
                <w:szCs w:val="18"/>
              </w:rPr>
              <w:t xml:space="preserve"> = Fraction of the total heat input from fuel combustion derived from coal and oil, as determined by applicable procedures in Method 19 of appendix A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(g) For oil-fired affected facilities where the owner or operator seeks to demonstrate compliance with the fuel oil sulfur limits under § 60.42c based on shipment fuel sampling, the initial performance test shall consist of sampling and analyzing the oil in the initial tank of oil to be fired in the steam generating unit to demonstrate that the oil contains 0.5 weight percent sulfur or less. Thereafter, the owner or operator of the affected facility shall sample the oil in the fuel tank after each new shipment of oil is received, as described under § </w:t>
            </w:r>
            <w:proofErr w:type="gramStart"/>
            <w:r>
              <w:rPr>
                <w:rFonts w:ascii="Arial" w:hAnsi="Arial" w:cs="Arial"/>
                <w:sz w:val="20"/>
                <w:szCs w:val="20"/>
              </w:rPr>
              <w:t>60.46c(</w:t>
            </w:r>
            <w:proofErr w:type="gramEnd"/>
            <w:r>
              <w:rPr>
                <w:rFonts w:ascii="Arial" w:hAnsi="Arial" w:cs="Arial"/>
                <w:sz w:val="20"/>
                <w:szCs w:val="20"/>
              </w:rPr>
              <w:t>d)(2).</w:t>
            </w:r>
          </w:p>
          <w:p w:rsidR="00A12ACD" w:rsidRDefault="00A12ACD" w:rsidP="00A12ACD">
            <w:pPr>
              <w:pStyle w:val="NormalWeb"/>
              <w:divId w:val="311909253"/>
              <w:rPr>
                <w:rFonts w:ascii="Arial" w:hAnsi="Arial" w:cs="Arial"/>
                <w:sz w:val="20"/>
                <w:szCs w:val="20"/>
              </w:rPr>
            </w:pPr>
            <w:r>
              <w:rPr>
                <w:rFonts w:ascii="Arial" w:hAnsi="Arial" w:cs="Arial"/>
                <w:sz w:val="20"/>
                <w:szCs w:val="20"/>
              </w:rPr>
              <w:t>(h) For affected facilities subject to § 60.42c(h)(1), (2), or (3) where the owner or operator seeks to demonstrate compliance with the SO</w:t>
            </w:r>
            <w:r>
              <w:rPr>
                <w:rFonts w:ascii="Arial" w:hAnsi="Arial" w:cs="Arial"/>
                <w:sz w:val="14"/>
                <w:szCs w:val="14"/>
                <w:vertAlign w:val="subscript"/>
              </w:rPr>
              <w:t>2</w:t>
            </w:r>
            <w:r>
              <w:rPr>
                <w:rFonts w:ascii="Arial" w:hAnsi="Arial" w:cs="Arial"/>
                <w:sz w:val="20"/>
                <w:szCs w:val="20"/>
              </w:rPr>
              <w:t xml:space="preserve"> standards based on fuel supplier certification, the performance test shall consist of the certification from the fuel supplier, as described in § 60.48c(f), as applicable.</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owner or operator of an affected facility seeking to demonstrate compliance with the SO</w:t>
            </w:r>
            <w:r>
              <w:rPr>
                <w:rFonts w:ascii="Arial" w:hAnsi="Arial" w:cs="Arial"/>
                <w:sz w:val="14"/>
                <w:szCs w:val="14"/>
                <w:vertAlign w:val="subscript"/>
              </w:rPr>
              <w:t>2</w:t>
            </w:r>
            <w:r>
              <w:rPr>
                <w:rFonts w:ascii="Arial" w:hAnsi="Arial" w:cs="Arial"/>
                <w:sz w:val="20"/>
                <w:szCs w:val="20"/>
              </w:rPr>
              <w:t xml:space="preserve"> standards under § 60.42c(c)(2)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A12ACD" w:rsidRDefault="00A12ACD" w:rsidP="00A12ACD">
            <w:pPr>
              <w:pStyle w:val="NormalWeb"/>
              <w:divId w:val="311909253"/>
              <w:rPr>
                <w:rFonts w:ascii="Arial" w:hAnsi="Arial" w:cs="Arial"/>
                <w:sz w:val="20"/>
                <w:szCs w:val="20"/>
              </w:rPr>
            </w:pPr>
            <w:r>
              <w:rPr>
                <w:rFonts w:ascii="Arial" w:hAnsi="Arial" w:cs="Arial"/>
                <w:sz w:val="20"/>
                <w:szCs w:val="20"/>
              </w:rPr>
              <w:t>(j) The owner or operator of an affected facility shall use all valid SO</w:t>
            </w:r>
            <w:r>
              <w:rPr>
                <w:rFonts w:ascii="Arial" w:hAnsi="Arial" w:cs="Arial"/>
                <w:sz w:val="14"/>
                <w:szCs w:val="14"/>
                <w:vertAlign w:val="subscript"/>
              </w:rPr>
              <w:t>2</w:t>
            </w:r>
            <w:r>
              <w:rPr>
                <w:rFonts w:ascii="Arial" w:hAnsi="Arial" w:cs="Arial"/>
                <w:sz w:val="20"/>
                <w:szCs w:val="20"/>
              </w:rPr>
              <w:t xml:space="preserve"> emissions data in calculating %P</w:t>
            </w:r>
            <w:r>
              <w:rPr>
                <w:rFonts w:ascii="Arial" w:hAnsi="Arial" w:cs="Arial"/>
                <w:sz w:val="14"/>
                <w:szCs w:val="14"/>
                <w:vertAlign w:val="subscript"/>
              </w:rPr>
              <w:t>s</w:t>
            </w:r>
            <w:r>
              <w:rPr>
                <w:rFonts w:ascii="Arial" w:hAnsi="Arial" w:cs="Arial"/>
                <w:sz w:val="20"/>
                <w:szCs w:val="20"/>
              </w:rPr>
              <w:t xml:space="preserve"> and </w:t>
            </w:r>
            <w:proofErr w:type="spellStart"/>
            <w:r>
              <w:rPr>
                <w:rFonts w:ascii="Arial" w:hAnsi="Arial" w:cs="Arial"/>
                <w:sz w:val="20"/>
                <w:szCs w:val="20"/>
              </w:rPr>
              <w:t>E</w:t>
            </w:r>
            <w:r>
              <w:rPr>
                <w:rFonts w:ascii="Arial" w:hAnsi="Arial" w:cs="Arial"/>
                <w:sz w:val="14"/>
                <w:szCs w:val="14"/>
                <w:vertAlign w:val="subscript"/>
              </w:rPr>
              <w:t>ho</w:t>
            </w:r>
            <w:proofErr w:type="spellEnd"/>
            <w:r>
              <w:rPr>
                <w:rFonts w:ascii="Arial" w:hAnsi="Arial" w:cs="Arial"/>
                <w:sz w:val="20"/>
                <w:szCs w:val="20"/>
              </w:rPr>
              <w:t xml:space="preserve"> under paragraphs (d), (e), or (f) of this section, as applicable, whether or not the minimum emissions data requirements under § 60.46c(f) are achieved. All valid emissions data, including valid data collected during periods of startup, shutdown, and malfunction, shall be used in calculating %P</w:t>
            </w:r>
            <w:r>
              <w:rPr>
                <w:rFonts w:ascii="Arial" w:hAnsi="Arial" w:cs="Arial"/>
                <w:sz w:val="14"/>
                <w:szCs w:val="14"/>
                <w:vertAlign w:val="subscript"/>
              </w:rPr>
              <w:t>s</w:t>
            </w:r>
            <w:r>
              <w:rPr>
                <w:rFonts w:ascii="Arial" w:hAnsi="Arial" w:cs="Arial"/>
                <w:sz w:val="20"/>
                <w:szCs w:val="20"/>
              </w:rPr>
              <w:t xml:space="preserve"> or </w:t>
            </w:r>
            <w:proofErr w:type="spellStart"/>
            <w:r>
              <w:rPr>
                <w:rFonts w:ascii="Arial" w:hAnsi="Arial" w:cs="Arial"/>
                <w:sz w:val="20"/>
                <w:szCs w:val="20"/>
              </w:rPr>
              <w:t>E</w:t>
            </w:r>
            <w:r>
              <w:rPr>
                <w:rFonts w:ascii="Arial" w:hAnsi="Arial" w:cs="Arial"/>
                <w:sz w:val="14"/>
                <w:szCs w:val="14"/>
                <w:vertAlign w:val="subscript"/>
              </w:rPr>
              <w:t>ho</w:t>
            </w:r>
            <w:proofErr w:type="spellEnd"/>
            <w:r>
              <w:rPr>
                <w:rFonts w:ascii="Arial" w:hAnsi="Arial" w:cs="Arial"/>
                <w:sz w:val="20"/>
                <w:szCs w:val="20"/>
              </w:rPr>
              <w:t xml:space="preserve"> pursuant to paragraphs (d), (e), or (f) of this section, as applicable.</w:t>
            </w:r>
          </w:p>
          <w:p w:rsidR="00A12ACD" w:rsidRDefault="00A12ACD" w:rsidP="00A12ACD">
            <w:pPr>
              <w:pStyle w:val="cita"/>
              <w:divId w:val="311909253"/>
              <w:rPr>
                <w:rFonts w:ascii="Arial" w:hAnsi="Arial" w:cs="Arial"/>
              </w:rPr>
            </w:pPr>
            <w:r>
              <w:rPr>
                <w:rFonts w:ascii="Arial" w:hAnsi="Arial" w:cs="Arial"/>
              </w:rPr>
              <w:t>[72 FR 32759, June 13, 2007, as amended at 74 FR 5091, Jan. 28, 2009]</w:t>
            </w:r>
          </w:p>
          <w:p w:rsidR="00A12ACD" w:rsidRDefault="00A12ACD" w:rsidP="00A12ACD">
            <w:pPr>
              <w:pStyle w:val="fp"/>
              <w:divId w:val="1231888979"/>
              <w:rPr>
                <w:rFonts w:ascii="Arial" w:hAnsi="Arial" w:cs="Arial"/>
                <w:sz w:val="20"/>
                <w:szCs w:val="20"/>
              </w:rPr>
            </w:pPr>
            <w:hyperlink w:anchor="_top" w:history="1">
              <w:r>
                <w:rPr>
                  <w:rFonts w:ascii="Arial" w:hAnsi="Arial" w:cs="Arial"/>
                  <w:noProof/>
                  <w:color w:val="0000FF"/>
                  <w:sz w:val="17"/>
                  <w:szCs w:val="17"/>
                </w:rPr>
                <w:drawing>
                  <wp:inline distT="0" distB="0" distL="0" distR="0">
                    <wp:extent cx="152400" cy="152400"/>
                    <wp:effectExtent l="0" t="0" r="0" b="0"/>
                    <wp:docPr id="41" name="Picture 21" descr="return arrow">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20"/>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Style w:val="Hyperlink"/>
                </w:rPr>
                <w:t>Back to Top</w:t>
              </w:r>
            </w:hyperlink>
          </w:p>
          <w:p w:rsidR="00A12ACD" w:rsidRDefault="00A12ACD" w:rsidP="00A12ACD">
            <w:pPr>
              <w:pStyle w:val="Heading2"/>
              <w:jc w:val="left"/>
              <w:divId w:val="311909253"/>
              <w:rPr>
                <w:rFonts w:ascii="Arial" w:eastAsia="Times New Roman" w:hAnsi="Arial" w:cs="Arial"/>
              </w:rPr>
            </w:pPr>
            <w:bookmarkStart w:id="6" w:name="40:7.0.1.1.1.12.151.6"/>
            <w:bookmarkEnd w:id="6"/>
            <w:r>
              <w:rPr>
                <w:rFonts w:ascii="Arial" w:eastAsia="Times New Roman" w:hAnsi="Arial" w:cs="Arial"/>
              </w:rPr>
              <w:t>§ 60.45c   Compliance and performance test methods and procedures for particulate matter.</w:t>
            </w:r>
          </w:p>
          <w:p w:rsidR="00A12ACD" w:rsidRDefault="00A12ACD" w:rsidP="00A12ACD">
            <w:pPr>
              <w:pStyle w:val="NormalWeb"/>
              <w:divId w:val="311909253"/>
              <w:rPr>
                <w:rFonts w:ascii="Arial" w:hAnsi="Arial" w:cs="Arial"/>
                <w:sz w:val="20"/>
                <w:szCs w:val="20"/>
              </w:rPr>
            </w:pPr>
            <w:r>
              <w:rPr>
                <w:rFonts w:ascii="Arial" w:hAnsi="Arial" w:cs="Arial"/>
                <w:sz w:val="20"/>
                <w:szCs w:val="20"/>
              </w:rPr>
              <w:t>(a) The owner or operator of an affected facility subject to the PM and/or opacity standards under § 60.43c shall conduct an initial performance test as required under § 60.8, and shall conduct subsequent performance tests as requested by the Administrator, to determine compliance with the standards using the following procedures and reference methods, except as specified in paragraph (c) of this section.</w:t>
            </w:r>
          </w:p>
          <w:p w:rsidR="00A12ACD" w:rsidRDefault="00A12ACD" w:rsidP="00A12ACD">
            <w:pPr>
              <w:pStyle w:val="NormalWeb"/>
              <w:divId w:val="311909253"/>
              <w:rPr>
                <w:rFonts w:ascii="Arial" w:hAnsi="Arial" w:cs="Arial"/>
                <w:sz w:val="20"/>
                <w:szCs w:val="20"/>
              </w:rPr>
            </w:pPr>
            <w:r>
              <w:rPr>
                <w:rFonts w:ascii="Arial" w:hAnsi="Arial" w:cs="Arial"/>
                <w:sz w:val="20"/>
                <w:szCs w:val="20"/>
              </w:rPr>
              <w:t>(1) Method 1 of appendix A of this part shall be used to select the sampling site and the number of traverse sampling points.</w:t>
            </w:r>
          </w:p>
          <w:p w:rsidR="00A12ACD" w:rsidRDefault="00A12ACD" w:rsidP="00A12ACD">
            <w:pPr>
              <w:pStyle w:val="NormalWeb"/>
              <w:divId w:val="311909253"/>
              <w:rPr>
                <w:rFonts w:ascii="Arial" w:hAnsi="Arial" w:cs="Arial"/>
                <w:sz w:val="20"/>
                <w:szCs w:val="20"/>
              </w:rPr>
            </w:pPr>
            <w:r>
              <w:rPr>
                <w:rFonts w:ascii="Arial" w:hAnsi="Arial" w:cs="Arial"/>
                <w:sz w:val="20"/>
                <w:szCs w:val="20"/>
              </w:rPr>
              <w:t>(2) Method 3A or 3B of appendix A-2 of this part shall be used for gas analysis when applying Method 5 or 5B of appendix A-3 of this part or 17 of appendix A-6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(3) Method 5, 5B, or 17 of appendix A of this part shall be used to measure the concentration of PM as follows:</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Method 5 of appendix A of this part may be used only at affected facilities without wet scrubber systems.</w:t>
            </w:r>
          </w:p>
          <w:p w:rsidR="00A12ACD" w:rsidRDefault="00A12ACD" w:rsidP="00A12ACD">
            <w:pPr>
              <w:pStyle w:val="NormalWeb"/>
              <w:divId w:val="311909253"/>
              <w:rPr>
                <w:rFonts w:ascii="Arial" w:hAnsi="Arial" w:cs="Arial"/>
                <w:sz w:val="20"/>
                <w:szCs w:val="20"/>
              </w:rPr>
            </w:pPr>
            <w:r>
              <w:rPr>
                <w:rFonts w:ascii="Arial" w:hAnsi="Arial" w:cs="Arial"/>
                <w:sz w:val="20"/>
                <w:szCs w:val="20"/>
              </w:rPr>
              <w:t>(ii) Method 17 of appendix A of this part may be used at affected facilities with or without wet scrubber systems provided the stack gas temperature does not exceed a temperature of 160 °C (320 °F). The procedures of Sections 8.1 and 11.1 of Method 5B of appendix A of this part may be used in Method 17 of appendix A of this part only if Method 17 of appendix A of this part is used in conjunction with a wet scrubber system. Method 17 of appendix A of this part shall not be used in conjunction with a wet scrubber system if the effluent is saturated or laden with water droplets.</w:t>
            </w:r>
          </w:p>
          <w:p w:rsidR="00A12ACD" w:rsidRDefault="00A12ACD" w:rsidP="00A12ACD">
            <w:pPr>
              <w:pStyle w:val="NormalWeb"/>
              <w:divId w:val="311909253"/>
              <w:rPr>
                <w:rFonts w:ascii="Arial" w:hAnsi="Arial" w:cs="Arial"/>
                <w:sz w:val="20"/>
                <w:szCs w:val="20"/>
              </w:rPr>
            </w:pPr>
            <w:r>
              <w:rPr>
                <w:rFonts w:ascii="Arial" w:hAnsi="Arial" w:cs="Arial"/>
                <w:sz w:val="20"/>
                <w:szCs w:val="20"/>
              </w:rPr>
              <w:t>(iii) Method 5B of appendix A of this part may be used in conjunction with a wet scrubber system.</w:t>
            </w:r>
          </w:p>
          <w:p w:rsidR="00A12ACD" w:rsidRDefault="00A12ACD" w:rsidP="00A12ACD">
            <w:pPr>
              <w:pStyle w:val="NormalWeb"/>
              <w:divId w:val="311909253"/>
              <w:rPr>
                <w:rFonts w:ascii="Arial" w:hAnsi="Arial" w:cs="Arial"/>
                <w:sz w:val="20"/>
                <w:szCs w:val="20"/>
              </w:rPr>
            </w:pPr>
            <w:r>
              <w:rPr>
                <w:rFonts w:ascii="Arial" w:hAnsi="Arial" w:cs="Arial"/>
                <w:sz w:val="20"/>
                <w:szCs w:val="20"/>
              </w:rPr>
              <w:t>(4) The sampling time for each run shall be at least 120 minutes and the minimum sampling volume shall be 1.7 dry standard cubic meters (</w:t>
            </w:r>
            <w:proofErr w:type="spellStart"/>
            <w:r>
              <w:rPr>
                <w:rFonts w:ascii="Arial" w:hAnsi="Arial" w:cs="Arial"/>
                <w:sz w:val="20"/>
                <w:szCs w:val="20"/>
              </w:rPr>
              <w:t>dscm</w:t>
            </w:r>
            <w:proofErr w:type="spellEnd"/>
            <w:r>
              <w:rPr>
                <w:rFonts w:ascii="Arial" w:hAnsi="Arial" w:cs="Arial"/>
                <w:sz w:val="20"/>
                <w:szCs w:val="20"/>
              </w:rPr>
              <w:t>) [60 dry standard cubic feet (</w:t>
            </w:r>
            <w:proofErr w:type="spellStart"/>
            <w:r>
              <w:rPr>
                <w:rFonts w:ascii="Arial" w:hAnsi="Arial" w:cs="Arial"/>
                <w:sz w:val="20"/>
                <w:szCs w:val="20"/>
              </w:rPr>
              <w:t>dscf</w:t>
            </w:r>
            <w:proofErr w:type="spellEnd"/>
            <w:r>
              <w:rPr>
                <w:rFonts w:ascii="Arial" w:hAnsi="Arial" w:cs="Arial"/>
                <w:sz w:val="20"/>
                <w:szCs w:val="20"/>
              </w:rPr>
              <w:t>)] except that smaller sampling times or volumes may be approved by the Administrator when necessitated by process variables or other factors.</w:t>
            </w:r>
          </w:p>
          <w:p w:rsidR="00A12ACD" w:rsidRDefault="00A12ACD" w:rsidP="00A12ACD">
            <w:pPr>
              <w:pStyle w:val="NormalWeb"/>
              <w:divId w:val="311909253"/>
              <w:rPr>
                <w:rFonts w:ascii="Arial" w:hAnsi="Arial" w:cs="Arial"/>
                <w:sz w:val="20"/>
                <w:szCs w:val="20"/>
              </w:rPr>
            </w:pPr>
            <w:r>
              <w:rPr>
                <w:rFonts w:ascii="Arial" w:hAnsi="Arial" w:cs="Arial"/>
                <w:sz w:val="20"/>
                <w:szCs w:val="20"/>
              </w:rPr>
              <w:t>(5) For Method 5 or 5B of appendix A of this part, the temperature of the sample gas in the probe and filter holder shall be monitored and maintained at 160 ±14 °C (320±25 °F).</w:t>
            </w:r>
          </w:p>
          <w:p w:rsidR="00A12ACD" w:rsidRDefault="00A12ACD" w:rsidP="00A12ACD">
            <w:pPr>
              <w:pStyle w:val="NormalWeb"/>
              <w:divId w:val="311909253"/>
              <w:rPr>
                <w:rFonts w:ascii="Arial" w:hAnsi="Arial" w:cs="Arial"/>
                <w:sz w:val="20"/>
                <w:szCs w:val="20"/>
              </w:rPr>
            </w:pPr>
            <w:r>
              <w:rPr>
                <w:rFonts w:ascii="Arial" w:hAnsi="Arial" w:cs="Arial"/>
                <w:sz w:val="20"/>
                <w:szCs w:val="20"/>
              </w:rPr>
              <w:t>(6) For determination of PM emissions, an oxygen (O</w:t>
            </w:r>
            <w:r>
              <w:rPr>
                <w:rFonts w:ascii="Arial" w:hAnsi="Arial" w:cs="Arial"/>
                <w:sz w:val="14"/>
                <w:szCs w:val="14"/>
                <w:vertAlign w:val="subscript"/>
              </w:rPr>
              <w:t>2</w:t>
            </w:r>
            <w:r>
              <w:rPr>
                <w:rFonts w:ascii="Arial" w:hAnsi="Arial" w:cs="Arial"/>
                <w:sz w:val="20"/>
                <w:szCs w:val="20"/>
              </w:rPr>
              <w:t xml:space="preserve"> ) or carbon dioxide (CO</w:t>
            </w:r>
            <w:r>
              <w:rPr>
                <w:rFonts w:ascii="Arial" w:hAnsi="Arial" w:cs="Arial"/>
                <w:sz w:val="14"/>
                <w:szCs w:val="14"/>
                <w:vertAlign w:val="subscript"/>
              </w:rPr>
              <w:t>2</w:t>
            </w:r>
            <w:r>
              <w:rPr>
                <w:rFonts w:ascii="Arial" w:hAnsi="Arial" w:cs="Arial"/>
                <w:sz w:val="20"/>
                <w:szCs w:val="20"/>
              </w:rPr>
              <w:t xml:space="preserve"> ) measurement shall be obtained simultaneously with each run of Method 5, 5B, or 17 of appendix A of this part by traversing the duct at the same sampling location.</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(7) For each run using Method 5, 5B, or 17 of appendix A of this part, the emission rates expressed in </w:t>
            </w:r>
            <w:proofErr w:type="spellStart"/>
            <w:r>
              <w:rPr>
                <w:rFonts w:ascii="Arial" w:hAnsi="Arial" w:cs="Arial"/>
                <w:sz w:val="20"/>
                <w:szCs w:val="20"/>
              </w:rPr>
              <w:t>ng</w:t>
            </w:r>
            <w:proofErr w:type="spellEnd"/>
            <w:r>
              <w:rPr>
                <w:rFonts w:ascii="Arial" w:hAnsi="Arial" w:cs="Arial"/>
                <w:sz w:val="20"/>
                <w:szCs w:val="20"/>
              </w:rPr>
              <w:t>/J (lb/MMBtu) heat input shall be determined using:</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O</w:t>
            </w:r>
            <w:r>
              <w:rPr>
                <w:rFonts w:ascii="Arial" w:hAnsi="Arial" w:cs="Arial"/>
                <w:sz w:val="14"/>
                <w:szCs w:val="14"/>
                <w:vertAlign w:val="subscript"/>
              </w:rPr>
              <w:t>2</w:t>
            </w:r>
            <w:r>
              <w:rPr>
                <w:rFonts w:ascii="Arial" w:hAnsi="Arial" w:cs="Arial"/>
                <w:sz w:val="20"/>
                <w:szCs w:val="20"/>
              </w:rPr>
              <w:t xml:space="preserve"> or CO</w:t>
            </w:r>
            <w:r>
              <w:rPr>
                <w:rFonts w:ascii="Arial" w:hAnsi="Arial" w:cs="Arial"/>
                <w:sz w:val="14"/>
                <w:szCs w:val="14"/>
                <w:vertAlign w:val="subscript"/>
              </w:rPr>
              <w:t>2</w:t>
            </w:r>
            <w:r>
              <w:rPr>
                <w:rFonts w:ascii="Arial" w:hAnsi="Arial" w:cs="Arial"/>
                <w:sz w:val="20"/>
                <w:szCs w:val="20"/>
              </w:rPr>
              <w:t xml:space="preserve"> measurements and PM measurements obtained under this section, (ii) The dry basis F factor, and</w:t>
            </w:r>
          </w:p>
          <w:p w:rsidR="00A12ACD" w:rsidRDefault="00A12ACD" w:rsidP="00A12ACD">
            <w:pPr>
              <w:pStyle w:val="NormalWeb"/>
              <w:divId w:val="311909253"/>
              <w:rPr>
                <w:rFonts w:ascii="Arial" w:hAnsi="Arial" w:cs="Arial"/>
                <w:sz w:val="20"/>
                <w:szCs w:val="20"/>
              </w:rPr>
            </w:pPr>
            <w:r>
              <w:rPr>
                <w:rFonts w:ascii="Arial" w:hAnsi="Arial" w:cs="Arial"/>
                <w:sz w:val="20"/>
                <w:szCs w:val="20"/>
              </w:rPr>
              <w:t>(iii) The dry basis emission rate calculation procedure contained in Method 19 of appendix A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(8) Method 9 of appendix A-4 of this part shall be used for determining the opacity of stack emissions.</w:t>
            </w:r>
          </w:p>
          <w:p w:rsidR="00A12ACD" w:rsidRDefault="00A12ACD" w:rsidP="00A12ACD">
            <w:pPr>
              <w:pStyle w:val="NormalWeb"/>
              <w:divId w:val="311909253"/>
              <w:rPr>
                <w:rFonts w:ascii="Arial" w:hAnsi="Arial" w:cs="Arial"/>
                <w:sz w:val="20"/>
                <w:szCs w:val="20"/>
              </w:rPr>
            </w:pPr>
            <w:r>
              <w:rPr>
                <w:rFonts w:ascii="Arial" w:hAnsi="Arial" w:cs="Arial"/>
                <w:sz w:val="20"/>
                <w:szCs w:val="20"/>
              </w:rPr>
              <w:t>(b) The owner or operator of an affected facility seeking to demonstrate compliance with the PM standards under § 60.43c(b)(2)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A12ACD" w:rsidRDefault="00A12ACD" w:rsidP="00A12ACD">
            <w:pPr>
              <w:pStyle w:val="NormalWeb"/>
              <w:divId w:val="311909253"/>
              <w:rPr>
                <w:rFonts w:ascii="Arial" w:hAnsi="Arial" w:cs="Arial"/>
                <w:sz w:val="20"/>
                <w:szCs w:val="20"/>
              </w:rPr>
            </w:pPr>
            <w:r>
              <w:rPr>
                <w:rFonts w:ascii="Arial" w:hAnsi="Arial" w:cs="Arial"/>
                <w:sz w:val="20"/>
                <w:szCs w:val="20"/>
              </w:rPr>
              <w:t>(c) In place of PM testing with Method 5 or 5B of appendix A-3 of this part or Method 17 of appendix A-6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Method 5 or 5B of appendix A-3 of this part or Method 17 of appendix A-6 of this part shall install, calibrate, maintain, and operate a CEMS and shall comply with the requirements specified in paragraphs (c</w:t>
            </w:r>
            <w:proofErr w:type="gramStart"/>
            <w:r>
              <w:rPr>
                <w:rFonts w:ascii="Arial" w:hAnsi="Arial" w:cs="Arial"/>
                <w:sz w:val="20"/>
                <w:szCs w:val="20"/>
              </w:rPr>
              <w:t>)(</w:t>
            </w:r>
            <w:proofErr w:type="gramEnd"/>
            <w:r>
              <w:rPr>
                <w:rFonts w:ascii="Arial" w:hAnsi="Arial" w:cs="Arial"/>
                <w:sz w:val="20"/>
                <w:szCs w:val="20"/>
              </w:rPr>
              <w:t>1) through (c)(14) of this section.</w:t>
            </w:r>
          </w:p>
          <w:p w:rsidR="00A12ACD" w:rsidRDefault="00A12ACD" w:rsidP="00A12ACD">
            <w:pPr>
              <w:pStyle w:val="NormalWeb"/>
              <w:divId w:val="311909253"/>
              <w:rPr>
                <w:rFonts w:ascii="Arial" w:hAnsi="Arial" w:cs="Arial"/>
                <w:sz w:val="20"/>
                <w:szCs w:val="20"/>
              </w:rPr>
            </w:pPr>
            <w:r>
              <w:rPr>
                <w:rFonts w:ascii="Arial" w:hAnsi="Arial" w:cs="Arial"/>
                <w:sz w:val="20"/>
                <w:szCs w:val="20"/>
              </w:rPr>
              <w:t>(1) Notify the Administrator 1 month before starting use of the system.</w:t>
            </w:r>
          </w:p>
          <w:p w:rsidR="00A12ACD" w:rsidRDefault="00A12ACD" w:rsidP="00A12ACD">
            <w:pPr>
              <w:pStyle w:val="NormalWeb"/>
              <w:divId w:val="311909253"/>
              <w:rPr>
                <w:rFonts w:ascii="Arial" w:hAnsi="Arial" w:cs="Arial"/>
                <w:sz w:val="20"/>
                <w:szCs w:val="20"/>
              </w:rPr>
            </w:pPr>
            <w:r>
              <w:rPr>
                <w:rFonts w:ascii="Arial" w:hAnsi="Arial" w:cs="Arial"/>
                <w:sz w:val="20"/>
                <w:szCs w:val="20"/>
              </w:rPr>
              <w:t>(2) Notify the Administrator 1 month before stopping use of the system.</w:t>
            </w:r>
          </w:p>
          <w:p w:rsidR="00A12ACD" w:rsidRDefault="00A12ACD" w:rsidP="00A12ACD">
            <w:pPr>
              <w:pStyle w:val="NormalWeb"/>
              <w:divId w:val="311909253"/>
              <w:rPr>
                <w:rFonts w:ascii="Arial" w:hAnsi="Arial" w:cs="Arial"/>
                <w:sz w:val="20"/>
                <w:szCs w:val="20"/>
              </w:rPr>
            </w:pPr>
            <w:r>
              <w:rPr>
                <w:rFonts w:ascii="Arial" w:hAnsi="Arial" w:cs="Arial"/>
                <w:sz w:val="20"/>
                <w:szCs w:val="20"/>
              </w:rPr>
              <w:t>(3) The monitor shall be installed, evaluated, and operated in accordance with § 60.13 of subpart A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(4) The initial performance evaluation shall be completed no later than 180 days after the date of initial startup of the affected facility, as specified under § 60.8 of subpart A of this part or within 180 days of notification to the Administrator of use of CEMS if the owner or operator was previously determining compliance by Method 5, 5B, or 17 of appendix A of this part performance tests, whichever is later.</w:t>
            </w:r>
          </w:p>
          <w:p w:rsidR="00A12ACD" w:rsidRDefault="00A12ACD" w:rsidP="00A12ACD">
            <w:pPr>
              <w:pStyle w:val="NormalWeb"/>
              <w:divId w:val="311909253"/>
              <w:rPr>
                <w:rFonts w:ascii="Arial" w:hAnsi="Arial" w:cs="Arial"/>
                <w:sz w:val="20"/>
                <w:szCs w:val="20"/>
              </w:rPr>
            </w:pPr>
            <w:r>
              <w:rPr>
                <w:rFonts w:ascii="Arial" w:hAnsi="Arial" w:cs="Arial"/>
                <w:sz w:val="20"/>
                <w:szCs w:val="20"/>
              </w:rPr>
              <w:t>(5) The owner or operator of an affected facility shall conduct an initial performance test for PM emissions as required under § 60.8 of subpart A of this part. Compliance with the PM emission limit shall be determined by using the CEMS specified in paragraph (d) of this section to measure PM and calculating a 24-hour block arithmetic average emission concentration using EPA Reference Method 19 of appendix A of this part, section 4.1.</w:t>
            </w:r>
          </w:p>
          <w:p w:rsidR="00A12ACD" w:rsidRDefault="00A12ACD" w:rsidP="00A12ACD">
            <w:pPr>
              <w:pStyle w:val="NormalWeb"/>
              <w:divId w:val="311909253"/>
              <w:rPr>
                <w:rFonts w:ascii="Arial" w:hAnsi="Arial" w:cs="Arial"/>
                <w:sz w:val="20"/>
                <w:szCs w:val="20"/>
              </w:rPr>
            </w:pPr>
            <w:r>
              <w:rPr>
                <w:rFonts w:ascii="Arial" w:hAnsi="Arial" w:cs="Arial"/>
                <w:sz w:val="20"/>
                <w:szCs w:val="20"/>
              </w:rPr>
              <w:t>(6) Compliance with the PM emission limit shall be determined based on the 24-hour daily (block) average of the hourly arithmetic average emission concentrations using CEMS outlet data.</w:t>
            </w:r>
          </w:p>
          <w:p w:rsidR="00A12ACD" w:rsidRDefault="00A12ACD" w:rsidP="00A12ACD">
            <w:pPr>
              <w:pStyle w:val="NormalWeb"/>
              <w:divId w:val="311909253"/>
              <w:rPr>
                <w:rFonts w:ascii="Arial" w:hAnsi="Arial" w:cs="Arial"/>
                <w:sz w:val="20"/>
                <w:szCs w:val="20"/>
              </w:rPr>
            </w:pPr>
            <w:r>
              <w:rPr>
                <w:rFonts w:ascii="Arial" w:hAnsi="Arial" w:cs="Arial"/>
                <w:sz w:val="20"/>
                <w:szCs w:val="20"/>
              </w:rPr>
              <w:t>(7) At a minimum, valid CEMS hourly averages shall be obtained as specified in paragraph (c</w:t>
            </w:r>
            <w:proofErr w:type="gramStart"/>
            <w:r>
              <w:rPr>
                <w:rFonts w:ascii="Arial" w:hAnsi="Arial" w:cs="Arial"/>
                <w:sz w:val="20"/>
                <w:szCs w:val="20"/>
              </w:rPr>
              <w:t>)(</w:t>
            </w:r>
            <w:proofErr w:type="gramEnd"/>
            <w:r>
              <w:rPr>
                <w:rFonts w:ascii="Arial" w:hAnsi="Arial" w:cs="Arial"/>
                <w:sz w:val="20"/>
                <w:szCs w:val="20"/>
              </w:rPr>
              <w:t>7)(</w:t>
            </w:r>
            <w:proofErr w:type="spellStart"/>
            <w:r>
              <w:rPr>
                <w:rFonts w:ascii="Arial" w:hAnsi="Arial" w:cs="Arial"/>
                <w:sz w:val="20"/>
                <w:szCs w:val="20"/>
              </w:rPr>
              <w:t>i</w:t>
            </w:r>
            <w:proofErr w:type="spellEnd"/>
            <w:r>
              <w:rPr>
                <w:rFonts w:ascii="Arial" w:hAnsi="Arial" w:cs="Arial"/>
                <w:sz w:val="20"/>
                <w:szCs w:val="20"/>
              </w:rPr>
              <w:t>) of this section for 75 percent of the total operating hours per 30-day rolling average.</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At least two data points per hour shall be used to calculate each 1-hour arithmetic average.</w:t>
            </w:r>
          </w:p>
          <w:p w:rsidR="00A12ACD" w:rsidRDefault="00A12ACD" w:rsidP="00A12ACD">
            <w:pPr>
              <w:pStyle w:val="NormalWeb"/>
              <w:divId w:val="311909253"/>
              <w:rPr>
                <w:rFonts w:ascii="Arial" w:hAnsi="Arial" w:cs="Arial"/>
                <w:sz w:val="20"/>
                <w:szCs w:val="20"/>
              </w:rPr>
            </w:pPr>
            <w:r>
              <w:rPr>
                <w:rFonts w:ascii="Arial" w:hAnsi="Arial" w:cs="Arial"/>
                <w:sz w:val="20"/>
                <w:szCs w:val="20"/>
              </w:rPr>
              <w:t>(ii) [Reserved]</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(8) The 1-hour arithmetic averages required under paragraph (c)(7) of this section shall be expressed in </w:t>
            </w:r>
            <w:proofErr w:type="spellStart"/>
            <w:r>
              <w:rPr>
                <w:rFonts w:ascii="Arial" w:hAnsi="Arial" w:cs="Arial"/>
                <w:sz w:val="20"/>
                <w:szCs w:val="20"/>
              </w:rPr>
              <w:t>ng</w:t>
            </w:r>
            <w:proofErr w:type="spellEnd"/>
            <w:r>
              <w:rPr>
                <w:rFonts w:ascii="Arial" w:hAnsi="Arial" w:cs="Arial"/>
                <w:sz w:val="20"/>
                <w:szCs w:val="20"/>
              </w:rPr>
              <w:t>/J or lb/MMBtu heat input and shall be used to calculate the boiler operating day daily arithmetic average emission concentrations. The 1-hour arithmetic averages shall be calculated using the data points required under § 60.13(e</w:t>
            </w:r>
            <w:proofErr w:type="gramStart"/>
            <w:r>
              <w:rPr>
                <w:rFonts w:ascii="Arial" w:hAnsi="Arial" w:cs="Arial"/>
                <w:sz w:val="20"/>
                <w:szCs w:val="20"/>
              </w:rPr>
              <w:t>)(</w:t>
            </w:r>
            <w:proofErr w:type="gramEnd"/>
            <w:r>
              <w:rPr>
                <w:rFonts w:ascii="Arial" w:hAnsi="Arial" w:cs="Arial"/>
                <w:sz w:val="20"/>
                <w:szCs w:val="20"/>
              </w:rPr>
              <w:t>2) of subpart A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(9) All valid CEMS data shall be used in calculating average emission concentrations even if the minimum CEMS data requirements of paragraph (c</w:t>
            </w:r>
            <w:proofErr w:type="gramStart"/>
            <w:r>
              <w:rPr>
                <w:rFonts w:ascii="Arial" w:hAnsi="Arial" w:cs="Arial"/>
                <w:sz w:val="20"/>
                <w:szCs w:val="20"/>
              </w:rPr>
              <w:t>)(</w:t>
            </w:r>
            <w:proofErr w:type="gramEnd"/>
            <w:r>
              <w:rPr>
                <w:rFonts w:ascii="Arial" w:hAnsi="Arial" w:cs="Arial"/>
                <w:sz w:val="20"/>
                <w:szCs w:val="20"/>
              </w:rPr>
              <w:t>7) of this section are not met.</w:t>
            </w:r>
          </w:p>
          <w:p w:rsidR="00A12ACD" w:rsidRDefault="00A12ACD" w:rsidP="00A12ACD">
            <w:pPr>
              <w:pStyle w:val="NormalWeb"/>
              <w:divId w:val="311909253"/>
              <w:rPr>
                <w:rFonts w:ascii="Arial" w:hAnsi="Arial" w:cs="Arial"/>
                <w:sz w:val="20"/>
                <w:szCs w:val="20"/>
              </w:rPr>
            </w:pPr>
            <w:r>
              <w:rPr>
                <w:rFonts w:ascii="Arial" w:hAnsi="Arial" w:cs="Arial"/>
                <w:sz w:val="20"/>
                <w:szCs w:val="20"/>
              </w:rPr>
              <w:t>(10) The CEMS shall be operated according to Performance Specification 11 in appendix B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(11) During the correlation testing runs of the CEMS required by Performance Specification 11 in appendix B of this part, PM and O</w:t>
            </w:r>
            <w:r>
              <w:rPr>
                <w:rFonts w:ascii="Arial" w:hAnsi="Arial" w:cs="Arial"/>
                <w:sz w:val="14"/>
                <w:szCs w:val="14"/>
                <w:vertAlign w:val="subscript"/>
              </w:rPr>
              <w:t>2</w:t>
            </w:r>
            <w:r>
              <w:rPr>
                <w:rFonts w:ascii="Arial" w:hAnsi="Arial" w:cs="Arial"/>
                <w:sz w:val="20"/>
                <w:szCs w:val="20"/>
              </w:rPr>
              <w:t xml:space="preserve"> (or CO</w:t>
            </w:r>
            <w:r>
              <w:rPr>
                <w:rFonts w:ascii="Arial" w:hAnsi="Arial" w:cs="Arial"/>
                <w:sz w:val="14"/>
                <w:szCs w:val="14"/>
                <w:vertAlign w:val="subscript"/>
              </w:rPr>
              <w:t>2</w:t>
            </w:r>
            <w:r>
              <w:rPr>
                <w:rFonts w:ascii="Arial" w:hAnsi="Arial" w:cs="Arial"/>
                <w:sz w:val="20"/>
                <w:szCs w:val="20"/>
              </w:rPr>
              <w:t xml:space="preserve"> ) data shall be collected concurrently (or within a 30- to 60-minute period) by both the continuous emission monitors and performance tests conducted using the following test methods.</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For PM, Method 5 or 5B of appendix A-3 of this part or Method 17 of appendix A-6 of this part shall be used; and</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(ii) For O2 (or </w:t>
            </w:r>
            <w:proofErr w:type="gramStart"/>
            <w:r>
              <w:rPr>
                <w:rFonts w:ascii="Arial" w:hAnsi="Arial" w:cs="Arial"/>
                <w:sz w:val="20"/>
                <w:szCs w:val="20"/>
              </w:rPr>
              <w:t>CO</w:t>
            </w:r>
            <w:r>
              <w:rPr>
                <w:rFonts w:ascii="Arial" w:hAnsi="Arial" w:cs="Arial"/>
                <w:sz w:val="14"/>
                <w:szCs w:val="14"/>
                <w:vertAlign w:val="subscript"/>
              </w:rPr>
              <w:t>2</w:t>
            </w:r>
            <w:r>
              <w:rPr>
                <w:rFonts w:ascii="Arial" w:hAnsi="Arial" w:cs="Arial"/>
                <w:sz w:val="20"/>
                <w:szCs w:val="20"/>
              </w:rPr>
              <w:t xml:space="preserve"> )</w:t>
            </w:r>
            <w:proofErr w:type="gramEnd"/>
            <w:r>
              <w:rPr>
                <w:rFonts w:ascii="Arial" w:hAnsi="Arial" w:cs="Arial"/>
                <w:sz w:val="20"/>
                <w:szCs w:val="20"/>
              </w:rPr>
              <w:t>, Method 3A or 3B of appendix A-2 of this part, as applicable shall be used.</w:t>
            </w:r>
          </w:p>
          <w:p w:rsidR="00A12ACD" w:rsidRDefault="00A12ACD" w:rsidP="00A12ACD">
            <w:pPr>
              <w:pStyle w:val="NormalWeb"/>
              <w:divId w:val="311909253"/>
              <w:rPr>
                <w:rFonts w:ascii="Arial" w:hAnsi="Arial" w:cs="Arial"/>
                <w:sz w:val="20"/>
                <w:szCs w:val="20"/>
              </w:rPr>
            </w:pPr>
            <w:r>
              <w:rPr>
                <w:rFonts w:ascii="Arial" w:hAnsi="Arial" w:cs="Arial"/>
                <w:sz w:val="20"/>
                <w:szCs w:val="20"/>
              </w:rPr>
              <w:t>(12) 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A12ACD" w:rsidRDefault="00A12ACD" w:rsidP="00A12ACD">
            <w:pPr>
              <w:pStyle w:val="NormalWeb"/>
              <w:divId w:val="311909253"/>
              <w:rPr>
                <w:rFonts w:ascii="Arial" w:hAnsi="Arial" w:cs="Arial"/>
                <w:sz w:val="20"/>
                <w:szCs w:val="20"/>
              </w:rPr>
            </w:pPr>
            <w:r>
              <w:rPr>
                <w:rFonts w:ascii="Arial" w:hAnsi="Arial" w:cs="Arial"/>
                <w:sz w:val="20"/>
                <w:szCs w:val="20"/>
              </w:rPr>
              <w:t>(13)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on a 30-day rolling average.</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(14) As of January 1, 2012, and within 90 days after the date of completing each performance test, as defined in § 60.8, conducted to demonstrate compliance with this subpart, you must submit relative accuracy test audit ( </w:t>
            </w:r>
            <w:r>
              <w:rPr>
                <w:rFonts w:ascii="Arial" w:hAnsi="Arial" w:cs="Arial"/>
                <w:i/>
                <w:iCs/>
                <w:sz w:val="20"/>
                <w:szCs w:val="20"/>
              </w:rPr>
              <w:t>i.e.,</w:t>
            </w:r>
            <w:r>
              <w:rPr>
                <w:rFonts w:ascii="Arial" w:hAnsi="Arial" w:cs="Arial"/>
                <w:sz w:val="20"/>
                <w:szCs w:val="20"/>
              </w:rPr>
              <w:t xml:space="preserve"> reference method) data and performance test ( </w:t>
            </w:r>
            <w:r>
              <w:rPr>
                <w:rFonts w:ascii="Arial" w:hAnsi="Arial" w:cs="Arial"/>
                <w:i/>
                <w:iCs/>
                <w:sz w:val="20"/>
                <w:szCs w:val="20"/>
              </w:rPr>
              <w:t>i.e.,</w:t>
            </w:r>
            <w:r>
              <w:rPr>
                <w:rFonts w:ascii="Arial" w:hAnsi="Arial" w:cs="Arial"/>
                <w:sz w:val="20"/>
                <w:szCs w:val="20"/>
              </w:rPr>
              <w:t xml:space="preserve"> compliance test) data, except opacity data, electronically to EPA's Central Data Exchange (CDX) by using the Electronic Reporting Tool (ERT) (see </w:t>
            </w:r>
            <w:r>
              <w:rPr>
                <w:rFonts w:ascii="Arial" w:hAnsi="Arial" w:cs="Arial"/>
                <w:i/>
                <w:iCs/>
                <w:sz w:val="20"/>
                <w:szCs w:val="20"/>
              </w:rPr>
              <w:t>http://www.epa.gov/ttn/chief/ert/ert tool.html/</w:t>
            </w:r>
            <w:r>
              <w:rPr>
                <w:rFonts w:ascii="Arial" w:hAnsi="Arial" w:cs="Arial"/>
                <w:sz w:val="20"/>
                <w:szCs w:val="20"/>
              </w:rPr>
              <w:t xml:space="preserve"> ) or other compatible electronic spreadsheet. Only data collected using test methods compatible with ERT are subject to this requirement to be submitted electronically into EPA's </w:t>
            </w:r>
            <w:proofErr w:type="spellStart"/>
            <w:r>
              <w:rPr>
                <w:rFonts w:ascii="Arial" w:hAnsi="Arial" w:cs="Arial"/>
                <w:sz w:val="20"/>
                <w:szCs w:val="20"/>
              </w:rPr>
              <w:t>WebFIRE</w:t>
            </w:r>
            <w:proofErr w:type="spellEnd"/>
            <w:r>
              <w:rPr>
                <w:rFonts w:ascii="Arial" w:hAnsi="Arial" w:cs="Arial"/>
                <w:sz w:val="20"/>
                <w:szCs w:val="20"/>
              </w:rPr>
              <w:t xml:space="preserve"> database.</w:t>
            </w:r>
          </w:p>
          <w:p w:rsidR="00A12ACD" w:rsidRDefault="00A12ACD" w:rsidP="00A12ACD">
            <w:pPr>
              <w:pStyle w:val="NormalWeb"/>
              <w:divId w:val="311909253"/>
              <w:rPr>
                <w:rFonts w:ascii="Arial" w:hAnsi="Arial" w:cs="Arial"/>
                <w:sz w:val="20"/>
                <w:szCs w:val="20"/>
              </w:rPr>
            </w:pPr>
            <w:r>
              <w:rPr>
                <w:rFonts w:ascii="Arial" w:hAnsi="Arial" w:cs="Arial"/>
                <w:sz w:val="20"/>
                <w:szCs w:val="20"/>
              </w:rPr>
              <w:t>(d) The owner or operator of an affected facility seeking to demonstrate compliance under § </w:t>
            </w:r>
            <w:proofErr w:type="gramStart"/>
            <w:r>
              <w:rPr>
                <w:rFonts w:ascii="Arial" w:hAnsi="Arial" w:cs="Arial"/>
                <w:sz w:val="20"/>
                <w:szCs w:val="20"/>
              </w:rPr>
              <w:t>60.43c(</w:t>
            </w:r>
            <w:proofErr w:type="gramEnd"/>
            <w:r>
              <w:rPr>
                <w:rFonts w:ascii="Arial" w:hAnsi="Arial" w:cs="Arial"/>
                <w:sz w:val="20"/>
                <w:szCs w:val="20"/>
              </w:rPr>
              <w:t>e)(4) shall follow the applicable procedures under § 60.48c(f). For residual oil-fired affected facilities, fuel supplier certifications are only allowed for facilities with heat input capacities between 2.9 and 8.7 MW (10 to 30 MMBtu/h).</w:t>
            </w:r>
          </w:p>
          <w:p w:rsidR="00A12ACD" w:rsidRDefault="00A12ACD" w:rsidP="00A12ACD">
            <w:pPr>
              <w:pStyle w:val="cita"/>
              <w:divId w:val="311909253"/>
              <w:rPr>
                <w:rFonts w:ascii="Arial" w:hAnsi="Arial" w:cs="Arial"/>
              </w:rPr>
            </w:pPr>
            <w:r>
              <w:rPr>
                <w:rFonts w:ascii="Arial" w:hAnsi="Arial" w:cs="Arial"/>
              </w:rPr>
              <w:t>[72 FR 32759, June 13, 2007, as amended at 74 FR 5091, Jan. 28, 2009; 76 FR 3523, Jan. 20, 2011; 77 FR 9463, Feb. 16, 2012]</w:t>
            </w:r>
          </w:p>
          <w:p w:rsidR="00A12ACD" w:rsidRDefault="00A12ACD" w:rsidP="00A12ACD">
            <w:pPr>
              <w:pStyle w:val="fp"/>
              <w:divId w:val="1345476656"/>
              <w:rPr>
                <w:rFonts w:ascii="Arial" w:hAnsi="Arial" w:cs="Arial"/>
                <w:sz w:val="20"/>
                <w:szCs w:val="20"/>
              </w:rPr>
            </w:pPr>
            <w:hyperlink w:anchor="_top" w:history="1">
              <w:r>
                <w:rPr>
                  <w:rFonts w:ascii="Arial" w:hAnsi="Arial" w:cs="Arial"/>
                  <w:noProof/>
                  <w:color w:val="0000FF"/>
                  <w:sz w:val="17"/>
                  <w:szCs w:val="17"/>
                </w:rPr>
                <w:drawing>
                  <wp:inline distT="0" distB="0" distL="0" distR="0">
                    <wp:extent cx="152400" cy="152400"/>
                    <wp:effectExtent l="0" t="0" r="0" b="0"/>
                    <wp:docPr id="42" name="Picture 22" descr="return arrow">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2"/>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Style w:val="Hyperlink"/>
                </w:rPr>
                <w:t>Back to Top</w:t>
              </w:r>
            </w:hyperlink>
          </w:p>
          <w:p w:rsidR="00A12ACD" w:rsidRDefault="00A12ACD" w:rsidP="00A12ACD">
            <w:pPr>
              <w:pStyle w:val="Heading2"/>
              <w:jc w:val="left"/>
              <w:divId w:val="311909253"/>
              <w:rPr>
                <w:rFonts w:ascii="Arial" w:eastAsia="Times New Roman" w:hAnsi="Arial" w:cs="Arial"/>
              </w:rPr>
            </w:pPr>
            <w:bookmarkStart w:id="7" w:name="40:7.0.1.1.1.12.151.7"/>
            <w:bookmarkEnd w:id="7"/>
            <w:proofErr w:type="gramStart"/>
            <w:r>
              <w:rPr>
                <w:rFonts w:ascii="Arial" w:eastAsia="Times New Roman" w:hAnsi="Arial" w:cs="Arial"/>
              </w:rPr>
              <w:t>§ 60.46c   Emission monitoring for sulfur dioxide.</w:t>
            </w:r>
            <w:proofErr w:type="gramEnd"/>
          </w:p>
          <w:p w:rsidR="00A12ACD" w:rsidRDefault="00A12ACD" w:rsidP="00A12ACD">
            <w:pPr>
              <w:pStyle w:val="NormalWeb"/>
              <w:divId w:val="311909253"/>
              <w:rPr>
                <w:rFonts w:ascii="Arial" w:hAnsi="Arial" w:cs="Arial"/>
                <w:sz w:val="20"/>
                <w:szCs w:val="20"/>
              </w:rPr>
            </w:pPr>
            <w:r>
              <w:rPr>
                <w:rFonts w:ascii="Arial" w:hAnsi="Arial" w:cs="Arial"/>
                <w:sz w:val="20"/>
                <w:szCs w:val="20"/>
              </w:rPr>
              <w:t>(a) Except as provided in paragraphs (d) and (e) of this section, the owner or operator of an affected facility subject to the SO</w:t>
            </w:r>
            <w:r>
              <w:rPr>
                <w:rFonts w:ascii="Arial" w:hAnsi="Arial" w:cs="Arial"/>
                <w:sz w:val="14"/>
                <w:szCs w:val="14"/>
                <w:vertAlign w:val="subscript"/>
              </w:rPr>
              <w:t>2</w:t>
            </w:r>
            <w:r>
              <w:rPr>
                <w:rFonts w:ascii="Arial" w:hAnsi="Arial" w:cs="Arial"/>
                <w:sz w:val="20"/>
                <w:szCs w:val="20"/>
              </w:rPr>
              <w:t xml:space="preserve"> emission limits under § 60.42c shall install, calibrate, maintain, and operate a CEMS for measuring SO</w:t>
            </w:r>
            <w:r>
              <w:rPr>
                <w:rFonts w:ascii="Arial" w:hAnsi="Arial" w:cs="Arial"/>
                <w:sz w:val="14"/>
                <w:szCs w:val="14"/>
                <w:vertAlign w:val="subscript"/>
              </w:rPr>
              <w:t>2</w:t>
            </w:r>
            <w:r>
              <w:rPr>
                <w:rFonts w:ascii="Arial" w:hAnsi="Arial" w:cs="Arial"/>
                <w:sz w:val="20"/>
                <w:szCs w:val="20"/>
              </w:rPr>
              <w:t xml:space="preserve"> concentrations and either O</w:t>
            </w:r>
            <w:r>
              <w:rPr>
                <w:rFonts w:ascii="Arial" w:hAnsi="Arial" w:cs="Arial"/>
                <w:sz w:val="14"/>
                <w:szCs w:val="14"/>
                <w:vertAlign w:val="subscript"/>
              </w:rPr>
              <w:t>2</w:t>
            </w:r>
            <w:r>
              <w:rPr>
                <w:rFonts w:ascii="Arial" w:hAnsi="Arial" w:cs="Arial"/>
                <w:sz w:val="20"/>
                <w:szCs w:val="20"/>
              </w:rPr>
              <w:t xml:space="preserve"> or CO</w:t>
            </w:r>
            <w:r>
              <w:rPr>
                <w:rFonts w:ascii="Arial" w:hAnsi="Arial" w:cs="Arial"/>
                <w:sz w:val="14"/>
                <w:szCs w:val="14"/>
                <w:vertAlign w:val="subscript"/>
              </w:rPr>
              <w:t>2</w:t>
            </w:r>
            <w:r>
              <w:rPr>
                <w:rFonts w:ascii="Arial" w:hAnsi="Arial" w:cs="Arial"/>
                <w:sz w:val="20"/>
                <w:szCs w:val="20"/>
              </w:rPr>
              <w:t xml:space="preserve"> concentrations at the outlet of the SO</w:t>
            </w:r>
            <w:r>
              <w:rPr>
                <w:rFonts w:ascii="Arial" w:hAnsi="Arial" w:cs="Arial"/>
                <w:sz w:val="14"/>
                <w:szCs w:val="14"/>
                <w:vertAlign w:val="subscript"/>
              </w:rPr>
              <w:t>2</w:t>
            </w:r>
            <w:r>
              <w:rPr>
                <w:rFonts w:ascii="Arial" w:hAnsi="Arial" w:cs="Arial"/>
                <w:sz w:val="20"/>
                <w:szCs w:val="20"/>
              </w:rPr>
              <w:t xml:space="preserve"> control device (or the outlet of the steam generating unit if no SO</w:t>
            </w:r>
            <w:r>
              <w:rPr>
                <w:rFonts w:ascii="Arial" w:hAnsi="Arial" w:cs="Arial"/>
                <w:sz w:val="14"/>
                <w:szCs w:val="14"/>
                <w:vertAlign w:val="subscript"/>
              </w:rPr>
              <w:t>2</w:t>
            </w:r>
            <w:r>
              <w:rPr>
                <w:rFonts w:ascii="Arial" w:hAnsi="Arial" w:cs="Arial"/>
                <w:sz w:val="20"/>
                <w:szCs w:val="20"/>
              </w:rPr>
              <w:t xml:space="preserve"> control device is used), and shall record the output of the system. The owner or operator of an affected facility subject to the percent reduction requirements under § 60.42c shall measure SO</w:t>
            </w:r>
            <w:r>
              <w:rPr>
                <w:rFonts w:ascii="Arial" w:hAnsi="Arial" w:cs="Arial"/>
                <w:sz w:val="14"/>
                <w:szCs w:val="14"/>
                <w:vertAlign w:val="subscript"/>
              </w:rPr>
              <w:t>2</w:t>
            </w:r>
            <w:r>
              <w:rPr>
                <w:rFonts w:ascii="Arial" w:hAnsi="Arial" w:cs="Arial"/>
                <w:sz w:val="20"/>
                <w:szCs w:val="20"/>
              </w:rPr>
              <w:t xml:space="preserve"> concentrations and either O</w:t>
            </w:r>
            <w:r>
              <w:rPr>
                <w:rFonts w:ascii="Arial" w:hAnsi="Arial" w:cs="Arial"/>
                <w:sz w:val="14"/>
                <w:szCs w:val="14"/>
                <w:vertAlign w:val="subscript"/>
              </w:rPr>
              <w:t>2</w:t>
            </w:r>
            <w:r>
              <w:rPr>
                <w:rFonts w:ascii="Arial" w:hAnsi="Arial" w:cs="Arial"/>
                <w:sz w:val="20"/>
                <w:szCs w:val="20"/>
              </w:rPr>
              <w:t xml:space="preserve"> or CO</w:t>
            </w:r>
            <w:r>
              <w:rPr>
                <w:rFonts w:ascii="Arial" w:hAnsi="Arial" w:cs="Arial"/>
                <w:sz w:val="14"/>
                <w:szCs w:val="14"/>
                <w:vertAlign w:val="subscript"/>
              </w:rPr>
              <w:t>2</w:t>
            </w:r>
            <w:r>
              <w:rPr>
                <w:rFonts w:ascii="Arial" w:hAnsi="Arial" w:cs="Arial"/>
                <w:sz w:val="20"/>
                <w:szCs w:val="20"/>
              </w:rPr>
              <w:t xml:space="preserve"> concentrations at both the inlet and outlet of the SO</w:t>
            </w:r>
            <w:r>
              <w:rPr>
                <w:rFonts w:ascii="Arial" w:hAnsi="Arial" w:cs="Arial"/>
                <w:sz w:val="14"/>
                <w:szCs w:val="14"/>
                <w:vertAlign w:val="subscript"/>
              </w:rPr>
              <w:t>2</w:t>
            </w:r>
            <w:r>
              <w:rPr>
                <w:rFonts w:ascii="Arial" w:hAnsi="Arial" w:cs="Arial"/>
                <w:sz w:val="20"/>
                <w:szCs w:val="20"/>
              </w:rPr>
              <w:t xml:space="preserve"> control device.</w:t>
            </w:r>
          </w:p>
          <w:p w:rsidR="00A12ACD" w:rsidRDefault="00A12ACD" w:rsidP="00A12ACD">
            <w:pPr>
              <w:pStyle w:val="NormalWeb"/>
              <w:divId w:val="311909253"/>
              <w:rPr>
                <w:rFonts w:ascii="Arial" w:hAnsi="Arial" w:cs="Arial"/>
                <w:sz w:val="20"/>
                <w:szCs w:val="20"/>
              </w:rPr>
            </w:pPr>
            <w:r>
              <w:rPr>
                <w:rFonts w:ascii="Arial" w:hAnsi="Arial" w:cs="Arial"/>
                <w:sz w:val="20"/>
                <w:szCs w:val="20"/>
              </w:rPr>
              <w:t>(b) The 1-hour average SO</w:t>
            </w:r>
            <w:r>
              <w:rPr>
                <w:rFonts w:ascii="Arial" w:hAnsi="Arial" w:cs="Arial"/>
                <w:sz w:val="14"/>
                <w:szCs w:val="14"/>
                <w:vertAlign w:val="subscript"/>
              </w:rPr>
              <w:t>2</w:t>
            </w:r>
            <w:r>
              <w:rPr>
                <w:rFonts w:ascii="Arial" w:hAnsi="Arial" w:cs="Arial"/>
                <w:sz w:val="20"/>
                <w:szCs w:val="20"/>
              </w:rPr>
              <w:t xml:space="preserve"> emission rates measured by a CEMS shall be expressed in </w:t>
            </w:r>
            <w:proofErr w:type="spellStart"/>
            <w:r>
              <w:rPr>
                <w:rFonts w:ascii="Arial" w:hAnsi="Arial" w:cs="Arial"/>
                <w:sz w:val="20"/>
                <w:szCs w:val="20"/>
              </w:rPr>
              <w:t>ng</w:t>
            </w:r>
            <w:proofErr w:type="spellEnd"/>
            <w:r>
              <w:rPr>
                <w:rFonts w:ascii="Arial" w:hAnsi="Arial" w:cs="Arial"/>
                <w:sz w:val="20"/>
                <w:szCs w:val="20"/>
              </w:rPr>
              <w:t>/J or lb/MMBtu heat input and shall be used to calculate the average emission rates under § 60.42c. Each 1-hour average SO</w:t>
            </w:r>
            <w:r>
              <w:rPr>
                <w:rFonts w:ascii="Arial" w:hAnsi="Arial" w:cs="Arial"/>
                <w:sz w:val="14"/>
                <w:szCs w:val="14"/>
                <w:vertAlign w:val="subscript"/>
              </w:rPr>
              <w:t>2</w:t>
            </w:r>
            <w:r>
              <w:rPr>
                <w:rFonts w:ascii="Arial" w:hAnsi="Arial" w:cs="Arial"/>
                <w:sz w:val="20"/>
                <w:szCs w:val="20"/>
              </w:rPr>
              <w:t xml:space="preserve"> emission rate must be based on at least 30 minutes of operation, and shall be calculated using the data points required under § 60.13(h)(2). Hourly SO</w:t>
            </w:r>
            <w:r>
              <w:rPr>
                <w:rFonts w:ascii="Arial" w:hAnsi="Arial" w:cs="Arial"/>
                <w:sz w:val="14"/>
                <w:szCs w:val="14"/>
                <w:vertAlign w:val="subscript"/>
              </w:rPr>
              <w:t>2</w:t>
            </w:r>
            <w:r>
              <w:rPr>
                <w:rFonts w:ascii="Arial" w:hAnsi="Arial" w:cs="Arial"/>
                <w:sz w:val="20"/>
                <w:szCs w:val="20"/>
              </w:rPr>
              <w:t xml:space="preserve"> emission rates are not calculated if the affected facility is operated less than 30 minutes in a 1-hour period and are not counted toward determination of a steam generating unit operating day.</w:t>
            </w:r>
          </w:p>
          <w:p w:rsidR="00A12ACD" w:rsidRDefault="00A12ACD" w:rsidP="00A12ACD">
            <w:pPr>
              <w:pStyle w:val="NormalWeb"/>
              <w:divId w:val="311909253"/>
              <w:rPr>
                <w:rFonts w:ascii="Arial" w:hAnsi="Arial" w:cs="Arial"/>
                <w:sz w:val="20"/>
                <w:szCs w:val="20"/>
              </w:rPr>
            </w:pPr>
            <w:r>
              <w:rPr>
                <w:rFonts w:ascii="Arial" w:hAnsi="Arial" w:cs="Arial"/>
                <w:sz w:val="20"/>
                <w:szCs w:val="20"/>
              </w:rPr>
              <w:t>(c) The procedures under § 60.13 shall be followed for installation, evaluation, and operation of the CEMS.</w:t>
            </w:r>
          </w:p>
          <w:p w:rsidR="00A12ACD" w:rsidRDefault="00A12ACD" w:rsidP="00A12ACD">
            <w:pPr>
              <w:pStyle w:val="NormalWeb"/>
              <w:divId w:val="311909253"/>
              <w:rPr>
                <w:rFonts w:ascii="Arial" w:hAnsi="Arial" w:cs="Arial"/>
                <w:sz w:val="20"/>
                <w:szCs w:val="20"/>
              </w:rPr>
            </w:pPr>
            <w:r>
              <w:rPr>
                <w:rFonts w:ascii="Arial" w:hAnsi="Arial" w:cs="Arial"/>
                <w:sz w:val="20"/>
                <w:szCs w:val="20"/>
              </w:rPr>
              <w:t>(1) All CEMS shall be operated in accordance with the applicable procedures under Performance Specifications 1, 2, and 3 of appendix B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(2) Quarterly accuracy determinations and daily calibration drift tests shall be performed in accordance with Procedure 1 of appendix F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(3) For affected facilities subject to the percent reduction requirements under § 60.42c, the span value of the SO</w:t>
            </w:r>
            <w:r>
              <w:rPr>
                <w:rFonts w:ascii="Arial" w:hAnsi="Arial" w:cs="Arial"/>
                <w:sz w:val="14"/>
                <w:szCs w:val="14"/>
                <w:vertAlign w:val="subscript"/>
              </w:rPr>
              <w:t>2</w:t>
            </w:r>
            <w:r>
              <w:rPr>
                <w:rFonts w:ascii="Arial" w:hAnsi="Arial" w:cs="Arial"/>
                <w:sz w:val="20"/>
                <w:szCs w:val="20"/>
              </w:rPr>
              <w:t xml:space="preserve"> CEMS at the inlet to the SO</w:t>
            </w:r>
            <w:r>
              <w:rPr>
                <w:rFonts w:ascii="Arial" w:hAnsi="Arial" w:cs="Arial"/>
                <w:sz w:val="14"/>
                <w:szCs w:val="14"/>
                <w:vertAlign w:val="subscript"/>
              </w:rPr>
              <w:t>2</w:t>
            </w:r>
            <w:r>
              <w:rPr>
                <w:rFonts w:ascii="Arial" w:hAnsi="Arial" w:cs="Arial"/>
                <w:sz w:val="20"/>
                <w:szCs w:val="20"/>
              </w:rPr>
              <w:t xml:space="preserve"> control device shall be 125 percent of the maximum estimated hourly potential SO</w:t>
            </w:r>
            <w:r>
              <w:rPr>
                <w:rFonts w:ascii="Arial" w:hAnsi="Arial" w:cs="Arial"/>
                <w:sz w:val="14"/>
                <w:szCs w:val="14"/>
                <w:vertAlign w:val="subscript"/>
              </w:rPr>
              <w:t>2</w:t>
            </w:r>
            <w:r>
              <w:rPr>
                <w:rFonts w:ascii="Arial" w:hAnsi="Arial" w:cs="Arial"/>
                <w:sz w:val="20"/>
                <w:szCs w:val="20"/>
              </w:rPr>
              <w:t xml:space="preserve"> emission rate of the fuel combusted, and the span value of the SO</w:t>
            </w:r>
            <w:r>
              <w:rPr>
                <w:rFonts w:ascii="Arial" w:hAnsi="Arial" w:cs="Arial"/>
                <w:sz w:val="14"/>
                <w:szCs w:val="14"/>
                <w:vertAlign w:val="subscript"/>
              </w:rPr>
              <w:t>2</w:t>
            </w:r>
            <w:r>
              <w:rPr>
                <w:rFonts w:ascii="Arial" w:hAnsi="Arial" w:cs="Arial"/>
                <w:sz w:val="20"/>
                <w:szCs w:val="20"/>
              </w:rPr>
              <w:t xml:space="preserve"> CEMS at the outlet from the SO</w:t>
            </w:r>
            <w:r>
              <w:rPr>
                <w:rFonts w:ascii="Arial" w:hAnsi="Arial" w:cs="Arial"/>
                <w:sz w:val="14"/>
                <w:szCs w:val="14"/>
                <w:vertAlign w:val="subscript"/>
              </w:rPr>
              <w:t>2</w:t>
            </w:r>
            <w:r>
              <w:rPr>
                <w:rFonts w:ascii="Arial" w:hAnsi="Arial" w:cs="Arial"/>
                <w:sz w:val="20"/>
                <w:szCs w:val="20"/>
              </w:rPr>
              <w:t xml:space="preserve"> control device shall be 50 percent of the maximum estimated hourly potential SO</w:t>
            </w:r>
            <w:r>
              <w:rPr>
                <w:rFonts w:ascii="Arial" w:hAnsi="Arial" w:cs="Arial"/>
                <w:sz w:val="14"/>
                <w:szCs w:val="14"/>
                <w:vertAlign w:val="subscript"/>
              </w:rPr>
              <w:t>2</w:t>
            </w:r>
            <w:r>
              <w:rPr>
                <w:rFonts w:ascii="Arial" w:hAnsi="Arial" w:cs="Arial"/>
                <w:sz w:val="20"/>
                <w:szCs w:val="20"/>
              </w:rPr>
              <w:t xml:space="preserve"> emission rate of the fuel combusted.</w:t>
            </w:r>
          </w:p>
          <w:p w:rsidR="00A12ACD" w:rsidRDefault="00A12ACD" w:rsidP="00A12ACD">
            <w:pPr>
              <w:pStyle w:val="NormalWeb"/>
              <w:divId w:val="311909253"/>
              <w:rPr>
                <w:rFonts w:ascii="Arial" w:hAnsi="Arial" w:cs="Arial"/>
                <w:sz w:val="20"/>
                <w:szCs w:val="20"/>
              </w:rPr>
            </w:pPr>
            <w:r>
              <w:rPr>
                <w:rFonts w:ascii="Arial" w:hAnsi="Arial" w:cs="Arial"/>
                <w:sz w:val="20"/>
                <w:szCs w:val="20"/>
              </w:rPr>
              <w:t>(4) For affected facilities that are not subject to the percent reduction requirements of § 60.42c, the span value of the SO</w:t>
            </w:r>
            <w:r>
              <w:rPr>
                <w:rFonts w:ascii="Arial" w:hAnsi="Arial" w:cs="Arial"/>
                <w:sz w:val="14"/>
                <w:szCs w:val="14"/>
                <w:vertAlign w:val="subscript"/>
              </w:rPr>
              <w:t>2</w:t>
            </w:r>
            <w:r>
              <w:rPr>
                <w:rFonts w:ascii="Arial" w:hAnsi="Arial" w:cs="Arial"/>
                <w:sz w:val="20"/>
                <w:szCs w:val="20"/>
              </w:rPr>
              <w:t xml:space="preserve"> CEMS at the outlet from the SO</w:t>
            </w:r>
            <w:r>
              <w:rPr>
                <w:rFonts w:ascii="Arial" w:hAnsi="Arial" w:cs="Arial"/>
                <w:sz w:val="14"/>
                <w:szCs w:val="14"/>
                <w:vertAlign w:val="subscript"/>
              </w:rPr>
              <w:t>2</w:t>
            </w:r>
            <w:r>
              <w:rPr>
                <w:rFonts w:ascii="Arial" w:hAnsi="Arial" w:cs="Arial"/>
                <w:sz w:val="20"/>
                <w:szCs w:val="20"/>
              </w:rPr>
              <w:t xml:space="preserve"> control device (or outlet of the steam generating unit if no SO</w:t>
            </w:r>
            <w:r>
              <w:rPr>
                <w:rFonts w:ascii="Arial" w:hAnsi="Arial" w:cs="Arial"/>
                <w:sz w:val="14"/>
                <w:szCs w:val="14"/>
                <w:vertAlign w:val="subscript"/>
              </w:rPr>
              <w:t>2</w:t>
            </w:r>
            <w:r>
              <w:rPr>
                <w:rFonts w:ascii="Arial" w:hAnsi="Arial" w:cs="Arial"/>
                <w:sz w:val="20"/>
                <w:szCs w:val="20"/>
              </w:rPr>
              <w:t xml:space="preserve"> control device is used) shall be 125 percent of the maximum estimated hourly potential SO</w:t>
            </w:r>
            <w:r>
              <w:rPr>
                <w:rFonts w:ascii="Arial" w:hAnsi="Arial" w:cs="Arial"/>
                <w:sz w:val="14"/>
                <w:szCs w:val="14"/>
                <w:vertAlign w:val="subscript"/>
              </w:rPr>
              <w:t>2</w:t>
            </w:r>
            <w:r>
              <w:rPr>
                <w:rFonts w:ascii="Arial" w:hAnsi="Arial" w:cs="Arial"/>
                <w:sz w:val="20"/>
                <w:szCs w:val="20"/>
              </w:rPr>
              <w:t xml:space="preserve"> emission rate of the fuel combusted.</w:t>
            </w:r>
          </w:p>
          <w:p w:rsidR="00A12ACD" w:rsidRDefault="00A12ACD" w:rsidP="00A12ACD">
            <w:pPr>
              <w:pStyle w:val="NormalWeb"/>
              <w:divId w:val="311909253"/>
              <w:rPr>
                <w:rFonts w:ascii="Arial" w:hAnsi="Arial" w:cs="Arial"/>
                <w:sz w:val="20"/>
                <w:szCs w:val="20"/>
              </w:rPr>
            </w:pPr>
            <w:r>
              <w:rPr>
                <w:rFonts w:ascii="Arial" w:hAnsi="Arial" w:cs="Arial"/>
                <w:sz w:val="20"/>
                <w:szCs w:val="20"/>
              </w:rPr>
              <w:t>(d) As an alternative to operating a CEMS at the inlet to the SO</w:t>
            </w:r>
            <w:r>
              <w:rPr>
                <w:rFonts w:ascii="Arial" w:hAnsi="Arial" w:cs="Arial"/>
                <w:sz w:val="14"/>
                <w:szCs w:val="14"/>
                <w:vertAlign w:val="subscript"/>
              </w:rPr>
              <w:t>2</w:t>
            </w:r>
            <w:r>
              <w:rPr>
                <w:rFonts w:ascii="Arial" w:hAnsi="Arial" w:cs="Arial"/>
                <w:sz w:val="20"/>
                <w:szCs w:val="20"/>
              </w:rPr>
              <w:t xml:space="preserve"> control device (or outlet of the steam generating unit if no SO</w:t>
            </w:r>
            <w:r>
              <w:rPr>
                <w:rFonts w:ascii="Arial" w:hAnsi="Arial" w:cs="Arial"/>
                <w:sz w:val="14"/>
                <w:szCs w:val="14"/>
                <w:vertAlign w:val="subscript"/>
              </w:rPr>
              <w:t>2</w:t>
            </w:r>
            <w:r>
              <w:rPr>
                <w:rFonts w:ascii="Arial" w:hAnsi="Arial" w:cs="Arial"/>
                <w:sz w:val="20"/>
                <w:szCs w:val="20"/>
              </w:rPr>
              <w:t xml:space="preserve"> control device is used) as required under paragraph (a) of this section, an owner or operator may elect to determine the average SO</w:t>
            </w:r>
            <w:r>
              <w:rPr>
                <w:rFonts w:ascii="Arial" w:hAnsi="Arial" w:cs="Arial"/>
                <w:sz w:val="14"/>
                <w:szCs w:val="14"/>
                <w:vertAlign w:val="subscript"/>
              </w:rPr>
              <w:t>2</w:t>
            </w:r>
            <w:r>
              <w:rPr>
                <w:rFonts w:ascii="Arial" w:hAnsi="Arial" w:cs="Arial"/>
                <w:sz w:val="20"/>
                <w:szCs w:val="20"/>
              </w:rPr>
              <w:t xml:space="preserve"> emission rate by sampling the fuel prior to combustion. As an alternative to operating a CEMS at the outlet from the SO</w:t>
            </w:r>
            <w:r>
              <w:rPr>
                <w:rFonts w:ascii="Arial" w:hAnsi="Arial" w:cs="Arial"/>
                <w:sz w:val="14"/>
                <w:szCs w:val="14"/>
                <w:vertAlign w:val="subscript"/>
              </w:rPr>
              <w:t>2</w:t>
            </w:r>
            <w:r>
              <w:rPr>
                <w:rFonts w:ascii="Arial" w:hAnsi="Arial" w:cs="Arial"/>
                <w:sz w:val="20"/>
                <w:szCs w:val="20"/>
              </w:rPr>
              <w:t xml:space="preserve"> control device (or outlet of the steam generating unit if no SO</w:t>
            </w:r>
            <w:r>
              <w:rPr>
                <w:rFonts w:ascii="Arial" w:hAnsi="Arial" w:cs="Arial"/>
                <w:sz w:val="14"/>
                <w:szCs w:val="14"/>
                <w:vertAlign w:val="subscript"/>
              </w:rPr>
              <w:t>2</w:t>
            </w:r>
            <w:r>
              <w:rPr>
                <w:rFonts w:ascii="Arial" w:hAnsi="Arial" w:cs="Arial"/>
                <w:sz w:val="20"/>
                <w:szCs w:val="20"/>
              </w:rPr>
              <w:t xml:space="preserve"> control device is used) as required under paragraph (a) of this section, an owner or operator may elect to determine the average SO</w:t>
            </w:r>
            <w:r>
              <w:rPr>
                <w:rFonts w:ascii="Arial" w:hAnsi="Arial" w:cs="Arial"/>
                <w:sz w:val="14"/>
                <w:szCs w:val="14"/>
                <w:vertAlign w:val="subscript"/>
              </w:rPr>
              <w:t>2</w:t>
            </w:r>
            <w:r>
              <w:rPr>
                <w:rFonts w:ascii="Arial" w:hAnsi="Arial" w:cs="Arial"/>
                <w:sz w:val="20"/>
                <w:szCs w:val="20"/>
              </w:rPr>
              <w:t xml:space="preserve"> emission rate by using Method 6B of appendix A of this part. Fuel sampling shall be conducted pursuant to either paragraph (d</w:t>
            </w:r>
            <w:proofErr w:type="gramStart"/>
            <w:r>
              <w:rPr>
                <w:rFonts w:ascii="Arial" w:hAnsi="Arial" w:cs="Arial"/>
                <w:sz w:val="20"/>
                <w:szCs w:val="20"/>
              </w:rPr>
              <w:t>)(</w:t>
            </w:r>
            <w:proofErr w:type="gramEnd"/>
            <w:r>
              <w:rPr>
                <w:rFonts w:ascii="Arial" w:hAnsi="Arial" w:cs="Arial"/>
                <w:sz w:val="20"/>
                <w:szCs w:val="20"/>
              </w:rPr>
              <w:t>1) or (d)(2) of this section. Method 6B of appendix A of this part shall be conducted pursuant to paragraph (d</w:t>
            </w:r>
            <w:proofErr w:type="gramStart"/>
            <w:r>
              <w:rPr>
                <w:rFonts w:ascii="Arial" w:hAnsi="Arial" w:cs="Arial"/>
                <w:sz w:val="20"/>
                <w:szCs w:val="20"/>
              </w:rPr>
              <w:t>)(</w:t>
            </w:r>
            <w:proofErr w:type="gramEnd"/>
            <w:r>
              <w:rPr>
                <w:rFonts w:ascii="Arial" w:hAnsi="Arial" w:cs="Arial"/>
                <w:sz w:val="20"/>
                <w:szCs w:val="20"/>
              </w:rPr>
              <w:t>3) of this section.</w:t>
            </w:r>
          </w:p>
          <w:p w:rsidR="00A12ACD" w:rsidRDefault="00A12ACD" w:rsidP="00A12ACD">
            <w:pPr>
              <w:pStyle w:val="NormalWeb"/>
              <w:divId w:val="311909253"/>
              <w:rPr>
                <w:rFonts w:ascii="Arial" w:hAnsi="Arial" w:cs="Arial"/>
                <w:sz w:val="20"/>
                <w:szCs w:val="20"/>
              </w:rPr>
            </w:pPr>
            <w:r>
              <w:rPr>
                <w:rFonts w:ascii="Arial" w:hAnsi="Arial" w:cs="Arial"/>
                <w:sz w:val="20"/>
                <w:szCs w:val="20"/>
              </w:rPr>
              <w:t>(1) For affected facilities combusting coal or oil, coal or oil samples shall be collected daily in an as-fired condition at the inlet to the steam generating unit and analyzed for sulfur content and heat content according the Method 19 of appendix A of this part. Method 19 of appendix A of this part provides procedures for converting these measurements into the format to be used in calculating the average SO</w:t>
            </w:r>
            <w:r>
              <w:rPr>
                <w:rFonts w:ascii="Arial" w:hAnsi="Arial" w:cs="Arial"/>
                <w:sz w:val="14"/>
                <w:szCs w:val="14"/>
                <w:vertAlign w:val="subscript"/>
              </w:rPr>
              <w:t>2</w:t>
            </w:r>
            <w:r>
              <w:rPr>
                <w:rFonts w:ascii="Arial" w:hAnsi="Arial" w:cs="Arial"/>
                <w:sz w:val="20"/>
                <w:szCs w:val="20"/>
              </w:rPr>
              <w:t xml:space="preserve"> input rate.</w:t>
            </w:r>
          </w:p>
          <w:p w:rsidR="00A12ACD" w:rsidRDefault="00A12ACD" w:rsidP="00A12ACD">
            <w:pPr>
              <w:pStyle w:val="NormalWeb"/>
              <w:divId w:val="311909253"/>
              <w:rPr>
                <w:rFonts w:ascii="Arial" w:hAnsi="Arial" w:cs="Arial"/>
                <w:sz w:val="20"/>
                <w:szCs w:val="20"/>
              </w:rPr>
            </w:pPr>
            <w:r>
              <w:rPr>
                <w:rFonts w:ascii="Arial" w:hAnsi="Arial" w:cs="Arial"/>
                <w:sz w:val="20"/>
                <w:szCs w:val="20"/>
              </w:rPr>
              <w:t>(2) As an alternative fuel sampling procedure for affected facilities combusting oil, oil samples may be collected from the fuel tank for each steam generating unit immediately after the fuel tank is filled and before any oil is combusted. The owner or operator of the affected facility shall analyze the oil sample to determine the sulfur content of the oil. If a partially empty fuel tank is refilled, a new sample and analysis of the fuel in the tank would be required upon filling. Results of the fuel analysis taken after each new shipment of oil is received shall be used as the daily value when calculating the 30-day rolling average until the next shipment is received. If the fuel analysis shows that the sulfur content in the fuel tank is greater than 0.5 weight percent sulfur, the owner or operator shall ensure that the sulfur content of subsequent oil shipments is low enough to cause the 30-day rolling average sulfur content to be 0.5 weight percent sulfur or less.</w:t>
            </w:r>
          </w:p>
          <w:p w:rsidR="00A12ACD" w:rsidRDefault="00A12ACD" w:rsidP="00A12ACD">
            <w:pPr>
              <w:pStyle w:val="NormalWeb"/>
              <w:divId w:val="311909253"/>
              <w:rPr>
                <w:rFonts w:ascii="Arial" w:hAnsi="Arial" w:cs="Arial"/>
                <w:sz w:val="20"/>
                <w:szCs w:val="20"/>
              </w:rPr>
            </w:pPr>
            <w:r>
              <w:rPr>
                <w:rFonts w:ascii="Arial" w:hAnsi="Arial" w:cs="Arial"/>
                <w:sz w:val="20"/>
                <w:szCs w:val="20"/>
              </w:rPr>
              <w:t>(3) Method 6B of appendix A of this part may be used in lieu of CEMS to measure SO</w:t>
            </w:r>
            <w:r>
              <w:rPr>
                <w:rFonts w:ascii="Arial" w:hAnsi="Arial" w:cs="Arial"/>
                <w:sz w:val="14"/>
                <w:szCs w:val="14"/>
                <w:vertAlign w:val="subscript"/>
              </w:rPr>
              <w:t>2</w:t>
            </w:r>
            <w:r>
              <w:rPr>
                <w:rFonts w:ascii="Arial" w:hAnsi="Arial" w:cs="Arial"/>
                <w:sz w:val="20"/>
                <w:szCs w:val="20"/>
              </w:rPr>
              <w:t xml:space="preserve"> at the inlet or outlet of the SO</w:t>
            </w:r>
            <w:r>
              <w:rPr>
                <w:rFonts w:ascii="Arial" w:hAnsi="Arial" w:cs="Arial"/>
                <w:sz w:val="14"/>
                <w:szCs w:val="14"/>
                <w:vertAlign w:val="subscript"/>
              </w:rPr>
              <w:t>2</w:t>
            </w:r>
            <w:r>
              <w:rPr>
                <w:rFonts w:ascii="Arial" w:hAnsi="Arial" w:cs="Arial"/>
                <w:sz w:val="20"/>
                <w:szCs w:val="20"/>
              </w:rPr>
              <w:t xml:space="preserve"> control system. An initial stratification test is required to verify the adequacy of the Method 6B of appendix A of this part sampling location. The stratification test shall consist of three paired runs of a suitable SO</w:t>
            </w:r>
            <w:r>
              <w:rPr>
                <w:rFonts w:ascii="Arial" w:hAnsi="Arial" w:cs="Arial"/>
                <w:sz w:val="14"/>
                <w:szCs w:val="14"/>
                <w:vertAlign w:val="subscript"/>
              </w:rPr>
              <w:t>2</w:t>
            </w:r>
            <w:r>
              <w:rPr>
                <w:rFonts w:ascii="Arial" w:hAnsi="Arial" w:cs="Arial"/>
                <w:sz w:val="20"/>
                <w:szCs w:val="20"/>
              </w:rPr>
              <w:t xml:space="preserve"> and CO</w:t>
            </w:r>
            <w:r>
              <w:rPr>
                <w:rFonts w:ascii="Arial" w:hAnsi="Arial" w:cs="Arial"/>
                <w:sz w:val="14"/>
                <w:szCs w:val="14"/>
                <w:vertAlign w:val="subscript"/>
              </w:rPr>
              <w:t>2</w:t>
            </w:r>
            <w:r>
              <w:rPr>
                <w:rFonts w:ascii="Arial" w:hAnsi="Arial" w:cs="Arial"/>
                <w:sz w:val="20"/>
                <w:szCs w:val="20"/>
              </w:rPr>
              <w:t xml:space="preserve"> measurement train operated at the candidate location and a second similar train operated according to the procedures in § 3.2 and the applicable procedures in section 7 of Performance Specification 2 of appendix B of this part. Method 6B of appendix A of this part, Method 6A of appendix A of this part, or a combination of Methods 6 and 3 of appendix A of this part or Methods 6C and 3A of appendix A of this part are suitable measurement techniques. If Method 6B of appendix A of this part is used for the second train, sampling time and timer operation may be adjusted for the stratification test as long as an adequate sample volume is collected; however, both sampling trains are to be operated similarly. For the location to be adequate for Method 6B of appendix A of this part 24-hour tests, the mean of the absolute difference between the three paired runs must be less than 10 percent (0.10).</w:t>
            </w:r>
          </w:p>
          <w:p w:rsidR="00A12ACD" w:rsidRDefault="00A12ACD" w:rsidP="00A12ACD">
            <w:pPr>
              <w:pStyle w:val="NormalWeb"/>
              <w:divId w:val="311909253"/>
              <w:rPr>
                <w:rFonts w:ascii="Arial" w:hAnsi="Arial" w:cs="Arial"/>
                <w:sz w:val="20"/>
                <w:szCs w:val="20"/>
              </w:rPr>
            </w:pPr>
            <w:r>
              <w:rPr>
                <w:rFonts w:ascii="Arial" w:hAnsi="Arial" w:cs="Arial"/>
                <w:sz w:val="20"/>
                <w:szCs w:val="20"/>
              </w:rPr>
              <w:t>(e) The monitoring requirements of paragraphs (a) and (d) of this section shall not apply to affected facilities subject to § 60.42c(h) (1), (2), or (3) where the owner or operator of the affected facility seeks to demonstrate compliance with the SO</w:t>
            </w:r>
            <w:r>
              <w:rPr>
                <w:rFonts w:ascii="Arial" w:hAnsi="Arial" w:cs="Arial"/>
                <w:sz w:val="14"/>
                <w:szCs w:val="14"/>
                <w:vertAlign w:val="subscript"/>
              </w:rPr>
              <w:t>2</w:t>
            </w:r>
            <w:r>
              <w:rPr>
                <w:rFonts w:ascii="Arial" w:hAnsi="Arial" w:cs="Arial"/>
                <w:sz w:val="20"/>
                <w:szCs w:val="20"/>
              </w:rPr>
              <w:t xml:space="preserve"> standards based on fuel supplier certification, as described under § 60.48c(f), as applicable.</w:t>
            </w:r>
          </w:p>
          <w:p w:rsidR="00A12ACD" w:rsidRDefault="00A12ACD" w:rsidP="00A12ACD">
            <w:pPr>
              <w:pStyle w:val="NormalWeb"/>
              <w:divId w:val="311909253"/>
              <w:rPr>
                <w:rFonts w:ascii="Arial" w:hAnsi="Arial" w:cs="Arial"/>
                <w:sz w:val="20"/>
                <w:szCs w:val="20"/>
              </w:rPr>
            </w:pPr>
            <w:r>
              <w:rPr>
                <w:rFonts w:ascii="Arial" w:hAnsi="Arial" w:cs="Arial"/>
                <w:sz w:val="20"/>
                <w:szCs w:val="20"/>
              </w:rPr>
              <w:t>(f) The owner or operator of an affected facility operating a CEMS pursuant to paragraph (a) of this section, or conducting as-fired fuel sampling pursuant to paragraph (d)(1) of this section, shall obtain emission data for at least 75 percent of the operating hours in at least 22 out of 30 successive steam generating unit operating days. If this minimum data requirement is not met with a single monitoring system, the owner or operator of the affected facility shall supplement the emission data with data collected with other monitoring systems as approved by the Administrator.</w:t>
            </w:r>
          </w:p>
          <w:p w:rsidR="00A12ACD" w:rsidRDefault="00A12ACD" w:rsidP="00A12ACD">
            <w:pPr>
              <w:pStyle w:val="fp"/>
              <w:divId w:val="1086152722"/>
              <w:rPr>
                <w:rFonts w:ascii="Arial" w:hAnsi="Arial" w:cs="Arial"/>
                <w:sz w:val="20"/>
                <w:szCs w:val="20"/>
              </w:rPr>
            </w:pPr>
            <w:hyperlink w:anchor="_top" w:history="1">
              <w:r>
                <w:rPr>
                  <w:rFonts w:ascii="Arial" w:hAnsi="Arial" w:cs="Arial"/>
                  <w:noProof/>
                  <w:color w:val="0000FF"/>
                  <w:sz w:val="17"/>
                  <w:szCs w:val="17"/>
                </w:rPr>
                <w:drawing>
                  <wp:inline distT="0" distB="0" distL="0" distR="0">
                    <wp:extent cx="152400" cy="152400"/>
                    <wp:effectExtent l="0" t="0" r="0" b="0"/>
                    <wp:docPr id="43" name="Picture 23" descr="return arrow">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24"/>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Style w:val="Hyperlink"/>
                </w:rPr>
                <w:t>Back to Top</w:t>
              </w:r>
            </w:hyperlink>
          </w:p>
          <w:p w:rsidR="00A12ACD" w:rsidRDefault="00A12ACD" w:rsidP="00A12ACD">
            <w:pPr>
              <w:pStyle w:val="Heading2"/>
              <w:jc w:val="left"/>
              <w:divId w:val="311909253"/>
              <w:rPr>
                <w:rFonts w:ascii="Arial" w:eastAsia="Times New Roman" w:hAnsi="Arial" w:cs="Arial"/>
              </w:rPr>
            </w:pPr>
            <w:bookmarkStart w:id="8" w:name="40:7.0.1.1.1.12.151.8"/>
            <w:bookmarkEnd w:id="8"/>
            <w:proofErr w:type="gramStart"/>
            <w:r>
              <w:rPr>
                <w:rFonts w:ascii="Arial" w:eastAsia="Times New Roman" w:hAnsi="Arial" w:cs="Arial"/>
              </w:rPr>
              <w:t>§ 60.47c   Emission monitoring for particulate matter.</w:t>
            </w:r>
            <w:proofErr w:type="gramEnd"/>
          </w:p>
          <w:p w:rsidR="00A12ACD" w:rsidRDefault="00A12ACD" w:rsidP="00A12ACD">
            <w:pPr>
              <w:pStyle w:val="NormalWeb"/>
              <w:divId w:val="311909253"/>
              <w:rPr>
                <w:rFonts w:ascii="Arial" w:hAnsi="Arial" w:cs="Arial"/>
                <w:sz w:val="20"/>
                <w:szCs w:val="20"/>
              </w:rPr>
            </w:pPr>
            <w:r>
              <w:rPr>
                <w:rFonts w:ascii="Arial" w:hAnsi="Arial" w:cs="Arial"/>
                <w:sz w:val="20"/>
                <w:szCs w:val="20"/>
              </w:rPr>
              <w:t>(a) Except as provided in paragraphs (c), (d), (e), and (f) of this section, the owner or operator of an affected facility combusting coal, oil, or wood that is subject to the opacity standards under § 60.43c shall install, calibrate, maintain, and operate a continuous opacity monitoring system (COMS) for measuring the opacity of the emissions discharged to the atmosphere and record the output of the system. The owner or operator of an affected facility subject to an opacity standard in § 60.43c(c) that is not required to use a COMS due to paragraphs (c), (d), (e), or (f) of this section that elects not to use a COMS shall conduct a performance test using Method 9 of appendix A-4 of this part and the procedures in § 60.11 to demonstrate compliance with the applicable limit in § 60.43c by April 29, 2011, within 45 days of stopping use of an existing COMS, or within 180 days after initial startup of the facility, whichever is later, and shall comply with either paragraphs (a)(1), (a)(2), or (a)(3) of this section. The observation period for Method 9 of appendix A-4 of this part performance tests may be reduced from 3 hours to 60 minutes if all 6-minute averages are less than 10 percent and all individual 15-second observations are less than or equal to 20 percent during the initial 60 minutes of observation.</w:t>
            </w:r>
          </w:p>
          <w:p w:rsidR="00A12ACD" w:rsidRDefault="00A12ACD" w:rsidP="00A12ACD">
            <w:pPr>
              <w:pStyle w:val="NormalWeb"/>
              <w:divId w:val="311909253"/>
              <w:rPr>
                <w:rFonts w:ascii="Arial" w:hAnsi="Arial" w:cs="Arial"/>
                <w:sz w:val="20"/>
                <w:szCs w:val="20"/>
              </w:rPr>
            </w:pPr>
            <w:r>
              <w:rPr>
                <w:rFonts w:ascii="Arial" w:hAnsi="Arial" w:cs="Arial"/>
                <w:sz w:val="20"/>
                <w:szCs w:val="20"/>
              </w:rPr>
              <w:t>(1) Except as provided in paragraph (a)(2) and (a)(3) of this section, the owner or operator shall conduct subsequent Method 9 of appendix A-4 of this part performance tests using the procedures in paragraph (a) of this section according to the applicable schedule in paragraphs (a)(1)(</w:t>
            </w:r>
            <w:proofErr w:type="spellStart"/>
            <w:r>
              <w:rPr>
                <w:rFonts w:ascii="Arial" w:hAnsi="Arial" w:cs="Arial"/>
                <w:sz w:val="20"/>
                <w:szCs w:val="20"/>
              </w:rPr>
              <w:t>i</w:t>
            </w:r>
            <w:proofErr w:type="spellEnd"/>
            <w:r>
              <w:rPr>
                <w:rFonts w:ascii="Arial" w:hAnsi="Arial" w:cs="Arial"/>
                <w:sz w:val="20"/>
                <w:szCs w:val="20"/>
              </w:rPr>
              <w:t>) through (a)(1)(iv) of this section, as determined by the most recent Method 9 of appendix A-4 of this part performance test results.</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If no visible emissions are observed, a subsequent Method 9 of appendix A-4 of this part performance test must be completed within 12 calendar months from the date that the most recent performance test was conducted or within 45 days of the next day that fuel with an opacity standard is combusted, whichever is later;</w:t>
            </w:r>
          </w:p>
          <w:p w:rsidR="00A12ACD" w:rsidRDefault="00A12ACD" w:rsidP="00A12ACD">
            <w:pPr>
              <w:pStyle w:val="NormalWeb"/>
              <w:divId w:val="311909253"/>
              <w:rPr>
                <w:rFonts w:ascii="Arial" w:hAnsi="Arial" w:cs="Arial"/>
                <w:sz w:val="20"/>
                <w:szCs w:val="20"/>
              </w:rPr>
            </w:pPr>
            <w:r>
              <w:rPr>
                <w:rFonts w:ascii="Arial" w:hAnsi="Arial" w:cs="Arial"/>
                <w:sz w:val="20"/>
                <w:szCs w:val="20"/>
              </w:rPr>
              <w:t>(ii) If visible emissions are observed but the maximum 6-minute average opacity is less than or equal to 5 percent, a subsequent Method 9 of appendix A-4 of this part performance test must be completed within 6 calendar months from the date that the most recent performance test was conducted or within 45 days of the next day that fuel with an opacity standard is combusted, whichever is later;</w:t>
            </w:r>
          </w:p>
          <w:p w:rsidR="00A12ACD" w:rsidRDefault="00A12ACD" w:rsidP="00A12ACD">
            <w:pPr>
              <w:pStyle w:val="NormalWeb"/>
              <w:divId w:val="311909253"/>
              <w:rPr>
                <w:rFonts w:ascii="Arial" w:hAnsi="Arial" w:cs="Arial"/>
                <w:sz w:val="20"/>
                <w:szCs w:val="20"/>
              </w:rPr>
            </w:pPr>
            <w:r>
              <w:rPr>
                <w:rFonts w:ascii="Arial" w:hAnsi="Arial" w:cs="Arial"/>
                <w:sz w:val="20"/>
                <w:szCs w:val="20"/>
              </w:rPr>
              <w:t>(iii) 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 within 45 days of the next day that fuel with an opacity standard is combusted, whichever is later; or</w:t>
            </w:r>
          </w:p>
          <w:p w:rsidR="00A12ACD" w:rsidRDefault="00A12ACD" w:rsidP="00A12ACD">
            <w:pPr>
              <w:pStyle w:val="NormalWeb"/>
              <w:divId w:val="311909253"/>
              <w:rPr>
                <w:rFonts w:ascii="Arial" w:hAnsi="Arial" w:cs="Arial"/>
                <w:sz w:val="20"/>
                <w:szCs w:val="20"/>
              </w:rPr>
            </w:pPr>
            <w:r>
              <w:rPr>
                <w:rFonts w:ascii="Arial" w:hAnsi="Arial" w:cs="Arial"/>
                <w:sz w:val="20"/>
                <w:szCs w:val="20"/>
              </w:rPr>
              <w:t>(iv) If the maximum 6-minute average opacity is greater than 10 percent, a subsequent Method 9 of appendix A-4 of this part performance test must be completed within 45 calendar days from the date that the most recent performance test was conducted.</w:t>
            </w:r>
          </w:p>
          <w:p w:rsidR="00A12ACD" w:rsidRDefault="00A12ACD" w:rsidP="00A12ACD">
            <w:pPr>
              <w:pStyle w:val="NormalWeb"/>
              <w:divId w:val="311909253"/>
              <w:rPr>
                <w:rFonts w:ascii="Arial" w:hAnsi="Arial" w:cs="Arial"/>
                <w:sz w:val="20"/>
                <w:szCs w:val="20"/>
              </w:rPr>
            </w:pPr>
            <w:r>
              <w:rPr>
                <w:rFonts w:ascii="Arial" w:hAnsi="Arial" w:cs="Arial"/>
                <w:sz w:val="20"/>
                <w:szCs w:val="20"/>
              </w:rPr>
              <w:t>(2) If the maximum 6-minute opacity is less than 10 percent during the most recent Method 9 of appendix A-4 of this part performance test, the owner or operator may, as an alternative to performing subsequent Method 9 of appendix A-4 of this part performance tests, elect to perform subsequent monitoring using Method 22 of appendix A-7 of this part according to the procedures specified in paragraphs (a</w:t>
            </w:r>
            <w:proofErr w:type="gramStart"/>
            <w:r>
              <w:rPr>
                <w:rFonts w:ascii="Arial" w:hAnsi="Arial" w:cs="Arial"/>
                <w:sz w:val="20"/>
                <w:szCs w:val="20"/>
              </w:rPr>
              <w:t>)(</w:t>
            </w:r>
            <w:proofErr w:type="gramEnd"/>
            <w:r>
              <w:rPr>
                <w:rFonts w:ascii="Arial" w:hAnsi="Arial" w:cs="Arial"/>
                <w:sz w:val="20"/>
                <w:szCs w:val="20"/>
              </w:rPr>
              <w:t>2)(</w:t>
            </w:r>
            <w:proofErr w:type="spellStart"/>
            <w:r>
              <w:rPr>
                <w:rFonts w:ascii="Arial" w:hAnsi="Arial" w:cs="Arial"/>
                <w:sz w:val="20"/>
                <w:szCs w:val="20"/>
              </w:rPr>
              <w:t>i</w:t>
            </w:r>
            <w:proofErr w:type="spellEnd"/>
            <w:r>
              <w:rPr>
                <w:rFonts w:ascii="Arial" w:hAnsi="Arial" w:cs="Arial"/>
                <w:sz w:val="20"/>
                <w:szCs w:val="20"/>
              </w:rPr>
              <w:t>) and (ii) of this section.</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xml:space="preserve">) 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w:t>
            </w:r>
            <w:proofErr w:type="gramStart"/>
            <w:r>
              <w:rPr>
                <w:rFonts w:ascii="Arial" w:hAnsi="Arial" w:cs="Arial"/>
                <w:sz w:val="20"/>
                <w:szCs w:val="20"/>
              </w:rPr>
              <w:t xml:space="preserve">( </w:t>
            </w:r>
            <w:r>
              <w:rPr>
                <w:rFonts w:ascii="Arial" w:hAnsi="Arial" w:cs="Arial"/>
                <w:i/>
                <w:iCs/>
                <w:sz w:val="20"/>
                <w:szCs w:val="20"/>
              </w:rPr>
              <w:t>i.e</w:t>
            </w:r>
            <w:proofErr w:type="gramEnd"/>
            <w:r>
              <w:rPr>
                <w:rFonts w:ascii="Arial" w:hAnsi="Arial" w:cs="Arial"/>
                <w:i/>
                <w:iCs/>
                <w:sz w:val="20"/>
                <w:szCs w:val="20"/>
              </w:rPr>
              <w:t>.</w:t>
            </w:r>
            <w:r>
              <w:rPr>
                <w:rFonts w:ascii="Arial" w:hAnsi="Arial" w:cs="Arial"/>
                <w:sz w:val="20"/>
                <w:szCs w:val="20"/>
              </w:rPr>
              <w:t xml:space="preserve"> , 30 seconds per 10 minute period). If the sum of the occurrence of any visible emissions is greater than 30 seconds during the initial 10 minute observation, immediately conduct a 30 minute observation. If the sum of the occurrence of visible emissions is greater than 5 percent of the observation period ( </w:t>
            </w:r>
            <w:r>
              <w:rPr>
                <w:rFonts w:ascii="Arial" w:hAnsi="Arial" w:cs="Arial"/>
                <w:i/>
                <w:iCs/>
                <w:sz w:val="20"/>
                <w:szCs w:val="20"/>
              </w:rPr>
              <w:t>i.e.,</w:t>
            </w:r>
            <w:r>
              <w:rPr>
                <w:rFonts w:ascii="Arial" w:hAnsi="Arial" w:cs="Arial"/>
                <w:sz w:val="20"/>
                <w:szCs w:val="20"/>
              </w:rPr>
              <w:t xml:space="preserve"> 90 seconds per 30 minute period), the owner or operator shall either document and adjust the operation of the facility and demonstrate within 24 hours that the sum of the occurrence of visible emissions is equal to or less than 5 percent during a 30 minute observation ( </w:t>
            </w:r>
            <w:r>
              <w:rPr>
                <w:rFonts w:ascii="Arial" w:hAnsi="Arial" w:cs="Arial"/>
                <w:i/>
                <w:iCs/>
                <w:sz w:val="20"/>
                <w:szCs w:val="20"/>
              </w:rPr>
              <w:t>i.e.,</w:t>
            </w:r>
            <w:r>
              <w:rPr>
                <w:rFonts w:ascii="Arial" w:hAnsi="Arial" w:cs="Arial"/>
                <w:sz w:val="20"/>
                <w:szCs w:val="20"/>
              </w:rPr>
              <w:t xml:space="preserve"> 90 seconds) or conduct a new Method 9 of appendix A-4 of this part performance test using the procedures in paragraph (a) of this section within 45 calendar days according to the requirements in § 60.45c(a)(8).</w:t>
            </w:r>
          </w:p>
          <w:p w:rsidR="00A12ACD" w:rsidRDefault="00A12ACD" w:rsidP="00A12ACD">
            <w:pPr>
              <w:pStyle w:val="NormalWeb"/>
              <w:divId w:val="311909253"/>
              <w:rPr>
                <w:rFonts w:ascii="Arial" w:hAnsi="Arial" w:cs="Arial"/>
                <w:sz w:val="20"/>
                <w:szCs w:val="20"/>
              </w:rPr>
            </w:pPr>
            <w:r>
              <w:rPr>
                <w:rFonts w:ascii="Arial" w:hAnsi="Arial" w:cs="Arial"/>
                <w:sz w:val="20"/>
                <w:szCs w:val="20"/>
              </w:rPr>
              <w:t>(ii) If no visible emissions are observed for 10 operating days during which an opacity standard is applicable, observations can be reduced to once every 7 operating days during which an opacity standard is applicable. If any visible emissions are observed, daily observations shall be resumed.</w:t>
            </w:r>
          </w:p>
          <w:p w:rsidR="00A12ACD" w:rsidRDefault="00A12ACD" w:rsidP="00A12ACD">
            <w:pPr>
              <w:pStyle w:val="NormalWeb"/>
              <w:divId w:val="311909253"/>
              <w:rPr>
                <w:rFonts w:ascii="Arial" w:hAnsi="Arial" w:cs="Arial"/>
                <w:sz w:val="20"/>
                <w:szCs w:val="20"/>
              </w:rPr>
            </w:pPr>
            <w:r>
              <w:rPr>
                <w:rFonts w:ascii="Arial" w:hAnsi="Arial" w:cs="Arial"/>
                <w:sz w:val="20"/>
                <w:szCs w:val="20"/>
              </w:rPr>
              <w:t>(3) 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w:t>
            </w:r>
            <w:proofErr w:type="gramStart"/>
            <w:r>
              <w:rPr>
                <w:rFonts w:ascii="Arial" w:hAnsi="Arial" w:cs="Arial"/>
                <w:sz w:val="20"/>
                <w:szCs w:val="20"/>
              </w:rPr>
              <w:t>)(</w:t>
            </w:r>
            <w:proofErr w:type="gramEnd"/>
            <w:r>
              <w:rPr>
                <w:rFonts w:ascii="Arial" w:hAnsi="Arial" w:cs="Arial"/>
                <w:sz w:val="20"/>
                <w:szCs w:val="20"/>
              </w:rPr>
              <w:t>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rsidR="00A12ACD" w:rsidRDefault="00A12ACD" w:rsidP="00A12ACD">
            <w:pPr>
              <w:pStyle w:val="NormalWeb"/>
              <w:divId w:val="311909253"/>
              <w:rPr>
                <w:rFonts w:ascii="Arial" w:hAnsi="Arial" w:cs="Arial"/>
                <w:sz w:val="20"/>
                <w:szCs w:val="20"/>
              </w:rPr>
            </w:pPr>
            <w:r>
              <w:rPr>
                <w:rFonts w:ascii="Arial" w:hAnsi="Arial" w:cs="Arial"/>
                <w:sz w:val="20"/>
                <w:szCs w:val="20"/>
              </w:rPr>
              <w:t>(b) All COMS shall be operated in accordance with the applicable procedures under Performance Specification 1 of appendix B of this part. The span value of the opacity COMS shall be between 60 and 80 percent.</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(c) Owners and operators of an affected facilities that burn only distillate oil that contains no more than 0.5 weight percent sulfur and/or liquid or gaseous fuels with potential sulfur dioxide emission rates of 26 </w:t>
            </w:r>
            <w:proofErr w:type="spellStart"/>
            <w:r>
              <w:rPr>
                <w:rFonts w:ascii="Arial" w:hAnsi="Arial" w:cs="Arial"/>
                <w:sz w:val="20"/>
                <w:szCs w:val="20"/>
              </w:rPr>
              <w:t>ng</w:t>
            </w:r>
            <w:proofErr w:type="spellEnd"/>
            <w:r>
              <w:rPr>
                <w:rFonts w:ascii="Arial" w:hAnsi="Arial" w:cs="Arial"/>
                <w:sz w:val="20"/>
                <w:szCs w:val="20"/>
              </w:rPr>
              <w:t>/J (0.060 lb/MMBtu) heat input or less and that do not use a post-combustion technology to reduce SO2 or PM emissions and that are subject to an opacity standard in § 60.43c(c) are not required to operate a COMS if they follow the applicable procedures in § </w:t>
            </w:r>
            <w:proofErr w:type="gramStart"/>
            <w:r>
              <w:rPr>
                <w:rFonts w:ascii="Arial" w:hAnsi="Arial" w:cs="Arial"/>
                <w:sz w:val="20"/>
                <w:szCs w:val="20"/>
              </w:rPr>
              <w:t>60.48c(</w:t>
            </w:r>
            <w:proofErr w:type="gramEnd"/>
            <w:r>
              <w:rPr>
                <w:rFonts w:ascii="Arial" w:hAnsi="Arial" w:cs="Arial"/>
                <w:sz w:val="20"/>
                <w:szCs w:val="20"/>
              </w:rPr>
              <w:t>f).</w:t>
            </w:r>
          </w:p>
          <w:p w:rsidR="00A12ACD" w:rsidRDefault="00A12ACD" w:rsidP="00A12ACD">
            <w:pPr>
              <w:pStyle w:val="NormalWeb"/>
              <w:divId w:val="311909253"/>
              <w:rPr>
                <w:rFonts w:ascii="Arial" w:hAnsi="Arial" w:cs="Arial"/>
                <w:sz w:val="20"/>
                <w:szCs w:val="20"/>
              </w:rPr>
            </w:pPr>
            <w:r>
              <w:rPr>
                <w:rFonts w:ascii="Arial" w:hAnsi="Arial" w:cs="Arial"/>
                <w:sz w:val="20"/>
                <w:szCs w:val="20"/>
              </w:rPr>
              <w:t>(d) Owners or operators complying with the PM emission limit by using a PM CEMS must calibrate, maintain, operate, and record the output of the system for PM emissions discharged to the atmosphere as specified in § 60.45c(c). The CEMS specified in paragraph § 60.45c(c) shall be operated and data recorded during all periods of operation of the affected facility except for CEMS breakdowns and repairs. Data is recorded during calibration checks, and zero and span adjustments.</w:t>
            </w:r>
          </w:p>
          <w:p w:rsidR="00A12ACD" w:rsidRDefault="00A12ACD" w:rsidP="00A12ACD">
            <w:pPr>
              <w:pStyle w:val="NormalWeb"/>
              <w:divId w:val="311909253"/>
              <w:rPr>
                <w:rFonts w:ascii="Arial" w:hAnsi="Arial" w:cs="Arial"/>
                <w:sz w:val="20"/>
                <w:szCs w:val="20"/>
              </w:rPr>
            </w:pPr>
            <w:r>
              <w:rPr>
                <w:rFonts w:ascii="Arial" w:hAnsi="Arial" w:cs="Arial"/>
                <w:sz w:val="20"/>
                <w:szCs w:val="20"/>
              </w:rPr>
              <w:t>(e) Owners and operators of an affected facility that is subject to an opacity standard in § 60.43c(c) and that does not use post-combustion technology (except a wet scrubber) for reducing PM, SO</w:t>
            </w:r>
            <w:r>
              <w:rPr>
                <w:rFonts w:ascii="Arial" w:hAnsi="Arial" w:cs="Arial"/>
                <w:sz w:val="14"/>
                <w:szCs w:val="14"/>
                <w:vertAlign w:val="subscript"/>
              </w:rPr>
              <w:t>2</w:t>
            </w:r>
            <w:r>
              <w:rPr>
                <w:rFonts w:ascii="Arial" w:hAnsi="Arial" w:cs="Arial"/>
                <w:sz w:val="20"/>
                <w:szCs w:val="20"/>
              </w:rPr>
              <w:t xml:space="preserve"> , or carbon monoxide (CO) emissions, burns only gaseous fuels or fuel oils that contain less than or equal to 0.5 weight percent sulfur, and is operated such that emissions of CO discharged to the atmosphere from the affected facility are maintained at levels less than or equal to 0.15 lb/MMBtu on a boiler operating day average basis is not required to operate a COMS. Owners and operators of affected facilities electing to comply with this paragraph must demonstrate compliance according to the procedures specified in paragraphs (e)(1) through (4) of this section; or</w:t>
            </w:r>
          </w:p>
          <w:p w:rsidR="00A12ACD" w:rsidRDefault="00A12ACD" w:rsidP="00A12ACD">
            <w:pPr>
              <w:pStyle w:val="NormalWeb"/>
              <w:divId w:val="311909253"/>
              <w:rPr>
                <w:rFonts w:ascii="Arial" w:hAnsi="Arial" w:cs="Arial"/>
                <w:sz w:val="20"/>
                <w:szCs w:val="20"/>
              </w:rPr>
            </w:pPr>
            <w:r>
              <w:rPr>
                <w:rFonts w:ascii="Arial" w:hAnsi="Arial" w:cs="Arial"/>
                <w:sz w:val="20"/>
                <w:szCs w:val="20"/>
              </w:rPr>
              <w:t>(1) You must monitor CO emissions using a CEMS according to the procedures specified in paragraphs (e</w:t>
            </w:r>
            <w:proofErr w:type="gramStart"/>
            <w:r>
              <w:rPr>
                <w:rFonts w:ascii="Arial" w:hAnsi="Arial" w:cs="Arial"/>
                <w:sz w:val="20"/>
                <w:szCs w:val="20"/>
              </w:rPr>
              <w:t>)(</w:t>
            </w:r>
            <w:proofErr w:type="gramEnd"/>
            <w:r>
              <w:rPr>
                <w:rFonts w:ascii="Arial" w:hAnsi="Arial" w:cs="Arial"/>
                <w:sz w:val="20"/>
                <w:szCs w:val="20"/>
              </w:rPr>
              <w:t>1)(</w:t>
            </w:r>
            <w:proofErr w:type="spellStart"/>
            <w:r>
              <w:rPr>
                <w:rFonts w:ascii="Arial" w:hAnsi="Arial" w:cs="Arial"/>
                <w:sz w:val="20"/>
                <w:szCs w:val="20"/>
              </w:rPr>
              <w:t>i</w:t>
            </w:r>
            <w:proofErr w:type="spellEnd"/>
            <w:r>
              <w:rPr>
                <w:rFonts w:ascii="Arial" w:hAnsi="Arial" w:cs="Arial"/>
                <w:sz w:val="20"/>
                <w:szCs w:val="20"/>
              </w:rPr>
              <w:t>) through (iv) of this section.</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CO CEMS must be installed, certified, maintained, and operated according to the provisions in § </w:t>
            </w:r>
            <w:proofErr w:type="gramStart"/>
            <w:r>
              <w:rPr>
                <w:rFonts w:ascii="Arial" w:hAnsi="Arial" w:cs="Arial"/>
                <w:sz w:val="20"/>
                <w:szCs w:val="20"/>
              </w:rPr>
              <w:t>60.58b(</w:t>
            </w:r>
            <w:proofErr w:type="spellStart"/>
            <w:proofErr w:type="gramEnd"/>
            <w:r>
              <w:rPr>
                <w:rFonts w:ascii="Arial" w:hAnsi="Arial" w:cs="Arial"/>
                <w:sz w:val="20"/>
                <w:szCs w:val="20"/>
              </w:rPr>
              <w:t>i</w:t>
            </w:r>
            <w:proofErr w:type="spellEnd"/>
            <w:r>
              <w:rPr>
                <w:rFonts w:ascii="Arial" w:hAnsi="Arial" w:cs="Arial"/>
                <w:sz w:val="20"/>
                <w:szCs w:val="20"/>
              </w:rPr>
              <w:t xml:space="preserve">)(3) of subpart </w:t>
            </w:r>
            <w:proofErr w:type="spellStart"/>
            <w:r>
              <w:rPr>
                <w:rFonts w:ascii="Arial" w:hAnsi="Arial" w:cs="Arial"/>
                <w:sz w:val="20"/>
                <w:szCs w:val="20"/>
              </w:rPr>
              <w:t>Eb</w:t>
            </w:r>
            <w:proofErr w:type="spellEnd"/>
            <w:r>
              <w:rPr>
                <w:rFonts w:ascii="Arial" w:hAnsi="Arial" w:cs="Arial"/>
                <w:sz w:val="20"/>
                <w:szCs w:val="20"/>
              </w:rPr>
              <w:t xml:space="preserve">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(ii) Each 1-hour CO emissions average is calculated using the data points generated by the CO CEMS expressed in parts per million by volume corrected to 3 percent oxygen (dry basis).</w:t>
            </w:r>
          </w:p>
          <w:p w:rsidR="00A12ACD" w:rsidRDefault="00A12ACD" w:rsidP="00A12ACD">
            <w:pPr>
              <w:pStyle w:val="NormalWeb"/>
              <w:divId w:val="311909253"/>
              <w:rPr>
                <w:rFonts w:ascii="Arial" w:hAnsi="Arial" w:cs="Arial"/>
                <w:sz w:val="20"/>
                <w:szCs w:val="20"/>
              </w:rPr>
            </w:pPr>
            <w:r>
              <w:rPr>
                <w:rFonts w:ascii="Arial" w:hAnsi="Arial" w:cs="Arial"/>
                <w:sz w:val="20"/>
                <w:szCs w:val="20"/>
              </w:rPr>
              <w:t>(iii) At a minimum, valid 1-hour CO emissions averages must be obtained for at least 90 percent of the operating hours on a 30-day rolling average basis. The 1-hour averages are calculated using the data points required in § 60.13(h</w:t>
            </w:r>
            <w:proofErr w:type="gramStart"/>
            <w:r>
              <w:rPr>
                <w:rFonts w:ascii="Arial" w:hAnsi="Arial" w:cs="Arial"/>
                <w:sz w:val="20"/>
                <w:szCs w:val="20"/>
              </w:rPr>
              <w:t>)(</w:t>
            </w:r>
            <w:proofErr w:type="gramEnd"/>
            <w:r>
              <w:rPr>
                <w:rFonts w:ascii="Arial" w:hAnsi="Arial" w:cs="Arial"/>
                <w:sz w:val="20"/>
                <w:szCs w:val="20"/>
              </w:rPr>
              <w:t>2).</w:t>
            </w:r>
          </w:p>
          <w:p w:rsidR="00A12ACD" w:rsidRDefault="00A12ACD" w:rsidP="00A12ACD">
            <w:pPr>
              <w:pStyle w:val="NormalWeb"/>
              <w:divId w:val="311909253"/>
              <w:rPr>
                <w:rFonts w:ascii="Arial" w:hAnsi="Arial" w:cs="Arial"/>
                <w:sz w:val="20"/>
                <w:szCs w:val="20"/>
              </w:rPr>
            </w:pPr>
            <w:r>
              <w:rPr>
                <w:rFonts w:ascii="Arial" w:hAnsi="Arial" w:cs="Arial"/>
                <w:sz w:val="20"/>
                <w:szCs w:val="20"/>
              </w:rPr>
              <w:t>(iv) Quarterly accuracy determinations and daily calibration drift tests for the CO CEMS must be performed in accordance with procedure 1 in appendix F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(2) 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rsidR="00A12ACD" w:rsidRDefault="00A12ACD" w:rsidP="00A12ACD">
            <w:pPr>
              <w:pStyle w:val="NormalWeb"/>
              <w:divId w:val="311909253"/>
              <w:rPr>
                <w:rFonts w:ascii="Arial" w:hAnsi="Arial" w:cs="Arial"/>
                <w:sz w:val="20"/>
                <w:szCs w:val="20"/>
              </w:rPr>
            </w:pPr>
            <w:r>
              <w:rPr>
                <w:rFonts w:ascii="Arial" w:hAnsi="Arial" w:cs="Arial"/>
                <w:sz w:val="20"/>
                <w:szCs w:val="20"/>
              </w:rPr>
              <w:t>(3) You must evaluate the preceding 24-hour average CO emission level each steam generating unit operating day excluding periods of affected source startup, shutdown, or malfunction. If the 24-hour average CO emission level is greater than 0.15 lb/MMBtu,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lb/MMBtu or less.</w:t>
            </w:r>
          </w:p>
          <w:p w:rsidR="00A12ACD" w:rsidRDefault="00A12ACD" w:rsidP="00A12ACD">
            <w:pPr>
              <w:pStyle w:val="NormalWeb"/>
              <w:divId w:val="311909253"/>
              <w:rPr>
                <w:rFonts w:ascii="Arial" w:hAnsi="Arial" w:cs="Arial"/>
                <w:sz w:val="20"/>
                <w:szCs w:val="20"/>
              </w:rPr>
            </w:pPr>
            <w:r>
              <w:rPr>
                <w:rFonts w:ascii="Arial" w:hAnsi="Arial" w:cs="Arial"/>
                <w:sz w:val="20"/>
                <w:szCs w:val="20"/>
              </w:rPr>
              <w:t>(4) You must record the CO measurements and calculations performed according to paragraph (e) of this section and any corrective actions taken. The record of corrective action taken must include the date and time during which the 24-hour average CO emission level was greater than 0.15 lb/MMBtu, and the date, time, and description of the corrective action.</w:t>
            </w:r>
          </w:p>
          <w:p w:rsidR="00A12ACD" w:rsidRDefault="00A12ACD" w:rsidP="00A12ACD">
            <w:pPr>
              <w:pStyle w:val="NormalWeb"/>
              <w:divId w:val="311909253"/>
              <w:rPr>
                <w:rFonts w:ascii="Arial" w:hAnsi="Arial" w:cs="Arial"/>
                <w:sz w:val="20"/>
                <w:szCs w:val="20"/>
              </w:rPr>
            </w:pPr>
            <w:r>
              <w:rPr>
                <w:rFonts w:ascii="Arial" w:hAnsi="Arial" w:cs="Arial"/>
                <w:sz w:val="20"/>
                <w:szCs w:val="20"/>
              </w:rPr>
              <w:t>(f) An owner or operator of an affected facility that is subject to an opacity standard in § 60.43c(c) is not required to operate a COMS provided that the affected facility meets the conditions in either paragraphs (f)(1), (2), or (3) of this section.</w:t>
            </w:r>
          </w:p>
          <w:p w:rsidR="00A12ACD" w:rsidRDefault="00A12ACD" w:rsidP="00A12ACD">
            <w:pPr>
              <w:pStyle w:val="NormalWeb"/>
              <w:divId w:val="311909253"/>
              <w:rPr>
                <w:rFonts w:ascii="Arial" w:hAnsi="Arial" w:cs="Arial"/>
                <w:sz w:val="20"/>
                <w:szCs w:val="20"/>
              </w:rPr>
            </w:pPr>
            <w:r>
              <w:rPr>
                <w:rFonts w:ascii="Arial" w:hAnsi="Arial" w:cs="Arial"/>
                <w:sz w:val="20"/>
                <w:szCs w:val="20"/>
              </w:rPr>
              <w:t>(1) The affected facility uses a fabric filter (baghouse) as the primary PM control device and, the owner or operator operates a bag leak detection system to monitor the performance of the fabric filter according to the requirements in section § 60.48Da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(2) The affected facility uses an ESP as the primary PM control device, and the owner or operator uses an ESP predictive model to monitor the performance of the ESP developed in accordance and operated according to the requirements in section § 60.48Da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(3) The affected facility burns only gaseous fuels and/or fuel oils that contain no greater than 0.5 weight percent </w:t>
            </w:r>
            <w:proofErr w:type="gramStart"/>
            <w:r>
              <w:rPr>
                <w:rFonts w:ascii="Arial" w:hAnsi="Arial" w:cs="Arial"/>
                <w:sz w:val="20"/>
                <w:szCs w:val="20"/>
              </w:rPr>
              <w:t>sulfur,</w:t>
            </w:r>
            <w:proofErr w:type="gramEnd"/>
            <w:r>
              <w:rPr>
                <w:rFonts w:ascii="Arial" w:hAnsi="Arial" w:cs="Arial"/>
                <w:sz w:val="20"/>
                <w:szCs w:val="20"/>
              </w:rPr>
              <w:t xml:space="preserve"> and the owner or operator operates the unit according to a written site-specific monitoring plan approved by the permitting authority. This monitoring plan must include procedures and criteria for establishing and monitoring specific parameters for the affected facility indicative of compliance with the opacity standard. For testing performed as part of this site-specific monitoring plan, the permitting authority may require as an alternative to the notification and reporting requirements specified in §§ 60.8 and 60.11 that the owner or operator submit any deviations with the excess emissions report required under § 60.48c(c).</w:t>
            </w:r>
          </w:p>
          <w:p w:rsidR="00A12ACD" w:rsidRDefault="00A12ACD" w:rsidP="00A12ACD">
            <w:pPr>
              <w:pStyle w:val="cita"/>
              <w:divId w:val="311909253"/>
              <w:rPr>
                <w:rFonts w:ascii="Arial" w:hAnsi="Arial" w:cs="Arial"/>
              </w:rPr>
            </w:pPr>
            <w:r>
              <w:rPr>
                <w:rFonts w:ascii="Arial" w:hAnsi="Arial" w:cs="Arial"/>
              </w:rPr>
              <w:t>[72 FR 32759, June 13, 2007, as amended at 74 FR 5091, Jan. 28, 2009; 76 FR 3523, Jan. 20, 2011; 77 FR 9463, Feb. 16, 2012]</w:t>
            </w:r>
          </w:p>
          <w:p w:rsidR="00A12ACD" w:rsidRDefault="00A12ACD" w:rsidP="00A12ACD">
            <w:pPr>
              <w:pStyle w:val="fp"/>
              <w:divId w:val="798694589"/>
              <w:rPr>
                <w:rFonts w:ascii="Arial" w:hAnsi="Arial" w:cs="Arial"/>
                <w:sz w:val="20"/>
                <w:szCs w:val="20"/>
              </w:rPr>
            </w:pPr>
            <w:hyperlink w:anchor="_top" w:history="1">
              <w:r>
                <w:rPr>
                  <w:rFonts w:ascii="Arial" w:hAnsi="Arial" w:cs="Arial"/>
                  <w:noProof/>
                  <w:color w:val="0000FF"/>
                  <w:sz w:val="17"/>
                  <w:szCs w:val="17"/>
                </w:rPr>
                <w:drawing>
                  <wp:inline distT="0" distB="0" distL="0" distR="0">
                    <wp:extent cx="152400" cy="152400"/>
                    <wp:effectExtent l="0" t="0" r="0" b="0"/>
                    <wp:docPr id="44" name="Picture 24" descr="return arrow">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turn arrow">
                              <a:hlinkClick r:id="rId26"/>
                            </pic:cNvPr>
                            <pic:cNvPicPr>
                              <a:picLocks noChangeAspect="1" noChangeArrowheads="1"/>
                            </pic:cNvPicPr>
                          </pic:nvPicPr>
                          <pic:blipFill>
                            <a:blip r:link="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Pr>
                  <w:rStyle w:val="Hyperlink"/>
                </w:rPr>
                <w:t>Back to Top</w:t>
              </w:r>
            </w:hyperlink>
          </w:p>
          <w:p w:rsidR="00A12ACD" w:rsidRDefault="00A12ACD" w:rsidP="00A12ACD">
            <w:pPr>
              <w:pStyle w:val="Heading2"/>
              <w:jc w:val="left"/>
              <w:divId w:val="311909253"/>
              <w:rPr>
                <w:rFonts w:ascii="Arial" w:eastAsia="Times New Roman" w:hAnsi="Arial" w:cs="Arial"/>
              </w:rPr>
            </w:pPr>
            <w:bookmarkStart w:id="9" w:name="40:7.0.1.1.1.12.151.9"/>
            <w:bookmarkEnd w:id="9"/>
            <w:proofErr w:type="gramStart"/>
            <w:r>
              <w:rPr>
                <w:rFonts w:ascii="Arial" w:eastAsia="Times New Roman" w:hAnsi="Arial" w:cs="Arial"/>
              </w:rPr>
              <w:t>§ 60.48c   Reporting and recordkeeping requirements.</w:t>
            </w:r>
            <w:proofErr w:type="gramEnd"/>
          </w:p>
          <w:p w:rsidR="00A12ACD" w:rsidRDefault="00A12ACD" w:rsidP="00A12ACD">
            <w:pPr>
              <w:pStyle w:val="NormalWeb"/>
              <w:divId w:val="311909253"/>
              <w:rPr>
                <w:rFonts w:ascii="Arial" w:hAnsi="Arial" w:cs="Arial"/>
                <w:sz w:val="20"/>
                <w:szCs w:val="20"/>
              </w:rPr>
            </w:pPr>
            <w:r>
              <w:rPr>
                <w:rFonts w:ascii="Arial" w:hAnsi="Arial" w:cs="Arial"/>
                <w:sz w:val="20"/>
                <w:szCs w:val="20"/>
              </w:rPr>
              <w:t>(a) The owner or operator of each affected facility shall submit notification of the date of construction or reconstruction and actual startup, as provided by § 60.7 of this part. This notification shall include:</w:t>
            </w:r>
          </w:p>
          <w:p w:rsidR="00A12ACD" w:rsidRDefault="00A12ACD" w:rsidP="00A12ACD">
            <w:pPr>
              <w:pStyle w:val="NormalWeb"/>
              <w:divId w:val="311909253"/>
              <w:rPr>
                <w:rFonts w:ascii="Arial" w:hAnsi="Arial" w:cs="Arial"/>
                <w:sz w:val="20"/>
                <w:szCs w:val="20"/>
              </w:rPr>
            </w:pPr>
            <w:r>
              <w:rPr>
                <w:rFonts w:ascii="Arial" w:hAnsi="Arial" w:cs="Arial"/>
                <w:sz w:val="20"/>
                <w:szCs w:val="20"/>
              </w:rPr>
              <w:t>(1) The design heat input capacity of the affected facility and identification of fuels to be combusted in the affected facility.</w:t>
            </w:r>
          </w:p>
          <w:p w:rsidR="00A12ACD" w:rsidRDefault="00A12ACD" w:rsidP="00A12ACD">
            <w:pPr>
              <w:pStyle w:val="NormalWeb"/>
              <w:divId w:val="311909253"/>
              <w:rPr>
                <w:rFonts w:ascii="Arial" w:hAnsi="Arial" w:cs="Arial"/>
                <w:sz w:val="20"/>
                <w:szCs w:val="20"/>
              </w:rPr>
            </w:pPr>
            <w:r>
              <w:rPr>
                <w:rFonts w:ascii="Arial" w:hAnsi="Arial" w:cs="Arial"/>
                <w:sz w:val="20"/>
                <w:szCs w:val="20"/>
              </w:rPr>
              <w:t>(2) If applicable, a copy of any federally enforceable requirement that limits the annual capacity factor for any fuel or mixture of fuels under § 60.42c, or § 60.43c.</w:t>
            </w:r>
          </w:p>
          <w:p w:rsidR="00A12ACD" w:rsidRDefault="00A12ACD" w:rsidP="00A12ACD">
            <w:pPr>
              <w:pStyle w:val="NormalWeb"/>
              <w:divId w:val="311909253"/>
              <w:rPr>
                <w:rFonts w:ascii="Arial" w:hAnsi="Arial" w:cs="Arial"/>
                <w:sz w:val="20"/>
                <w:szCs w:val="20"/>
              </w:rPr>
            </w:pPr>
            <w:r>
              <w:rPr>
                <w:rFonts w:ascii="Arial" w:hAnsi="Arial" w:cs="Arial"/>
                <w:sz w:val="20"/>
                <w:szCs w:val="20"/>
              </w:rPr>
              <w:t>(3) The annual capacity factor at which the owner or operator anticipates operating the affected facility based on all fuels fired and based on each individual fuel fired.</w:t>
            </w:r>
          </w:p>
          <w:p w:rsidR="00A12ACD" w:rsidRDefault="00A12ACD" w:rsidP="00A12ACD">
            <w:pPr>
              <w:pStyle w:val="NormalWeb"/>
              <w:divId w:val="311909253"/>
              <w:rPr>
                <w:rFonts w:ascii="Arial" w:hAnsi="Arial" w:cs="Arial"/>
                <w:sz w:val="20"/>
                <w:szCs w:val="20"/>
              </w:rPr>
            </w:pPr>
            <w:r>
              <w:rPr>
                <w:rFonts w:ascii="Arial" w:hAnsi="Arial" w:cs="Arial"/>
                <w:sz w:val="20"/>
                <w:szCs w:val="20"/>
              </w:rPr>
              <w:t>(4) Notification if an emerging technology will be used for controlling SO</w:t>
            </w:r>
            <w:r>
              <w:rPr>
                <w:rFonts w:ascii="Arial" w:hAnsi="Arial" w:cs="Arial"/>
                <w:sz w:val="14"/>
                <w:szCs w:val="14"/>
                <w:vertAlign w:val="subscript"/>
              </w:rPr>
              <w:t>2</w:t>
            </w:r>
            <w:r>
              <w:rPr>
                <w:rFonts w:ascii="Arial" w:hAnsi="Arial" w:cs="Arial"/>
                <w:sz w:val="20"/>
                <w:szCs w:val="20"/>
              </w:rPr>
              <w:t xml:space="preserve"> emissions. The Administrator will examine the description of the control device and will determine whether the technology qualifies as an emerging technology. In making this determination, the Administrator may require the owner or operator of the affected facility to submit additional information concerning the control device. The affected facility is subject to the provisions of § </w:t>
            </w:r>
            <w:proofErr w:type="gramStart"/>
            <w:r>
              <w:rPr>
                <w:rFonts w:ascii="Arial" w:hAnsi="Arial" w:cs="Arial"/>
                <w:sz w:val="20"/>
                <w:szCs w:val="20"/>
              </w:rPr>
              <w:t>60.42c(</w:t>
            </w:r>
            <w:proofErr w:type="gramEnd"/>
            <w:r>
              <w:rPr>
                <w:rFonts w:ascii="Arial" w:hAnsi="Arial" w:cs="Arial"/>
                <w:sz w:val="20"/>
                <w:szCs w:val="20"/>
              </w:rPr>
              <w:t>a) or (b)(1), unless and until this determination is made by the Administrator.</w:t>
            </w:r>
          </w:p>
          <w:p w:rsidR="00A12ACD" w:rsidRDefault="00A12ACD" w:rsidP="00A12ACD">
            <w:pPr>
              <w:pStyle w:val="NormalWeb"/>
              <w:divId w:val="311909253"/>
              <w:rPr>
                <w:rFonts w:ascii="Arial" w:hAnsi="Arial" w:cs="Arial"/>
                <w:sz w:val="20"/>
                <w:szCs w:val="20"/>
              </w:rPr>
            </w:pPr>
            <w:r>
              <w:rPr>
                <w:rFonts w:ascii="Arial" w:hAnsi="Arial" w:cs="Arial"/>
                <w:sz w:val="20"/>
                <w:szCs w:val="20"/>
              </w:rPr>
              <w:t>(b) The owner or operator of each affected facility subject to the SO</w:t>
            </w:r>
            <w:r>
              <w:rPr>
                <w:rFonts w:ascii="Arial" w:hAnsi="Arial" w:cs="Arial"/>
                <w:sz w:val="14"/>
                <w:szCs w:val="14"/>
                <w:vertAlign w:val="subscript"/>
              </w:rPr>
              <w:t>2</w:t>
            </w:r>
            <w:r>
              <w:rPr>
                <w:rFonts w:ascii="Arial" w:hAnsi="Arial" w:cs="Arial"/>
                <w:sz w:val="20"/>
                <w:szCs w:val="20"/>
              </w:rPr>
              <w:t xml:space="preserve"> emission limits of § 60.42c, or the PM or opacity limits of § 60.43c, shall submit to the Administrator the performance test data from the initial and any subsequent performance tests and, if applicable, the performance evaluation of the CEMS and/or COMS using the applicable performance specifications in appendix B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(c) In addition to the applicable requirements in § 60.7, the owner or operator of an affected facility subject to the opacity limits in § 60.43c(c) shall submit excess emission reports for any excess emissions from the affected facility that occur during the reporting period and maintain records according to the requirements specified in paragraphs (c</w:t>
            </w:r>
            <w:proofErr w:type="gramStart"/>
            <w:r>
              <w:rPr>
                <w:rFonts w:ascii="Arial" w:hAnsi="Arial" w:cs="Arial"/>
                <w:sz w:val="20"/>
                <w:szCs w:val="20"/>
              </w:rPr>
              <w:t>)(</w:t>
            </w:r>
            <w:proofErr w:type="gramEnd"/>
            <w:r>
              <w:rPr>
                <w:rFonts w:ascii="Arial" w:hAnsi="Arial" w:cs="Arial"/>
                <w:sz w:val="20"/>
                <w:szCs w:val="20"/>
              </w:rPr>
              <w:t>1) through (3) of this section, as applicable to the visible emissions monitoring method used.</w:t>
            </w:r>
          </w:p>
          <w:p w:rsidR="00A12ACD" w:rsidRDefault="00A12ACD" w:rsidP="00A12ACD">
            <w:pPr>
              <w:pStyle w:val="NormalWeb"/>
              <w:divId w:val="311909253"/>
              <w:rPr>
                <w:rFonts w:ascii="Arial" w:hAnsi="Arial" w:cs="Arial"/>
                <w:sz w:val="20"/>
                <w:szCs w:val="20"/>
              </w:rPr>
            </w:pPr>
            <w:r>
              <w:rPr>
                <w:rFonts w:ascii="Arial" w:hAnsi="Arial" w:cs="Arial"/>
                <w:sz w:val="20"/>
                <w:szCs w:val="20"/>
              </w:rPr>
              <w:t>(1) For each performance test conducted using Method 9 of appendix A-4 of this part, the owner or operator shall keep the records including the information specified in paragraphs (c)(1)(</w:t>
            </w:r>
            <w:proofErr w:type="spellStart"/>
            <w:r>
              <w:rPr>
                <w:rFonts w:ascii="Arial" w:hAnsi="Arial" w:cs="Arial"/>
                <w:sz w:val="20"/>
                <w:szCs w:val="20"/>
              </w:rPr>
              <w:t>i</w:t>
            </w:r>
            <w:proofErr w:type="spellEnd"/>
            <w:r>
              <w:rPr>
                <w:rFonts w:ascii="Arial" w:hAnsi="Arial" w:cs="Arial"/>
                <w:sz w:val="20"/>
                <w:szCs w:val="20"/>
              </w:rPr>
              <w:t>) through (iii) of this section.</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Dates and time intervals of all opacity observation periods;</w:t>
            </w:r>
          </w:p>
          <w:p w:rsidR="00A12ACD" w:rsidRDefault="00A12ACD" w:rsidP="00A12ACD">
            <w:pPr>
              <w:pStyle w:val="NormalWeb"/>
              <w:divId w:val="311909253"/>
              <w:rPr>
                <w:rFonts w:ascii="Arial" w:hAnsi="Arial" w:cs="Arial"/>
                <w:sz w:val="20"/>
                <w:szCs w:val="20"/>
              </w:rPr>
            </w:pPr>
            <w:r>
              <w:rPr>
                <w:rFonts w:ascii="Arial" w:hAnsi="Arial" w:cs="Arial"/>
                <w:sz w:val="20"/>
                <w:szCs w:val="20"/>
              </w:rPr>
              <w:t>(ii) Name, affiliation, and copy of current visible emission reading certification for each visible emission observer participating in the performance test; and</w:t>
            </w:r>
          </w:p>
          <w:p w:rsidR="00A12ACD" w:rsidRDefault="00A12ACD" w:rsidP="00A12ACD">
            <w:pPr>
              <w:pStyle w:val="NormalWeb"/>
              <w:divId w:val="311909253"/>
              <w:rPr>
                <w:rFonts w:ascii="Arial" w:hAnsi="Arial" w:cs="Arial"/>
                <w:sz w:val="20"/>
                <w:szCs w:val="20"/>
              </w:rPr>
            </w:pPr>
            <w:r>
              <w:rPr>
                <w:rFonts w:ascii="Arial" w:hAnsi="Arial" w:cs="Arial"/>
                <w:sz w:val="20"/>
                <w:szCs w:val="20"/>
              </w:rPr>
              <w:t>(iii) Copies of all visible emission observer opacity field data sheets;</w:t>
            </w:r>
          </w:p>
          <w:p w:rsidR="00A12ACD" w:rsidRDefault="00A12ACD" w:rsidP="00A12ACD">
            <w:pPr>
              <w:pStyle w:val="NormalWeb"/>
              <w:divId w:val="311909253"/>
              <w:rPr>
                <w:rFonts w:ascii="Arial" w:hAnsi="Arial" w:cs="Arial"/>
                <w:sz w:val="20"/>
                <w:szCs w:val="20"/>
              </w:rPr>
            </w:pPr>
            <w:r>
              <w:rPr>
                <w:rFonts w:ascii="Arial" w:hAnsi="Arial" w:cs="Arial"/>
                <w:sz w:val="20"/>
                <w:szCs w:val="20"/>
              </w:rPr>
              <w:t>(2) For each performance test conducted using Method 22 of appendix A-4 of this part, the owner or operator shall keep the records including the information specified in paragraphs (c)(2)(</w:t>
            </w:r>
            <w:proofErr w:type="spellStart"/>
            <w:r>
              <w:rPr>
                <w:rFonts w:ascii="Arial" w:hAnsi="Arial" w:cs="Arial"/>
                <w:sz w:val="20"/>
                <w:szCs w:val="20"/>
              </w:rPr>
              <w:t>i</w:t>
            </w:r>
            <w:proofErr w:type="spellEnd"/>
            <w:r>
              <w:rPr>
                <w:rFonts w:ascii="Arial" w:hAnsi="Arial" w:cs="Arial"/>
                <w:sz w:val="20"/>
                <w:szCs w:val="20"/>
              </w:rPr>
              <w:t>) through (iv) of this section.</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Dates and time intervals of all visible emissions observation periods;</w:t>
            </w:r>
          </w:p>
          <w:p w:rsidR="00A12ACD" w:rsidRDefault="00A12ACD" w:rsidP="00A12ACD">
            <w:pPr>
              <w:pStyle w:val="NormalWeb"/>
              <w:divId w:val="311909253"/>
              <w:rPr>
                <w:rFonts w:ascii="Arial" w:hAnsi="Arial" w:cs="Arial"/>
                <w:sz w:val="20"/>
                <w:szCs w:val="20"/>
              </w:rPr>
            </w:pPr>
            <w:r>
              <w:rPr>
                <w:rFonts w:ascii="Arial" w:hAnsi="Arial" w:cs="Arial"/>
                <w:sz w:val="20"/>
                <w:szCs w:val="20"/>
              </w:rPr>
              <w:t>(ii) Name and affiliation for each visible emission observer participating in the performance test;</w:t>
            </w:r>
          </w:p>
          <w:p w:rsidR="00A12ACD" w:rsidRDefault="00A12ACD" w:rsidP="00A12ACD">
            <w:pPr>
              <w:pStyle w:val="NormalWeb"/>
              <w:divId w:val="311909253"/>
              <w:rPr>
                <w:rFonts w:ascii="Arial" w:hAnsi="Arial" w:cs="Arial"/>
                <w:sz w:val="20"/>
                <w:szCs w:val="20"/>
              </w:rPr>
            </w:pPr>
            <w:r>
              <w:rPr>
                <w:rFonts w:ascii="Arial" w:hAnsi="Arial" w:cs="Arial"/>
                <w:sz w:val="20"/>
                <w:szCs w:val="20"/>
              </w:rPr>
              <w:t>(iii) Copies of all visible emission observer opacity field data sheets; and</w:t>
            </w:r>
          </w:p>
          <w:p w:rsidR="00A12ACD" w:rsidRDefault="00A12ACD" w:rsidP="00A12ACD">
            <w:pPr>
              <w:pStyle w:val="NormalWeb"/>
              <w:divId w:val="311909253"/>
              <w:rPr>
                <w:rFonts w:ascii="Arial" w:hAnsi="Arial" w:cs="Arial"/>
                <w:sz w:val="20"/>
                <w:szCs w:val="20"/>
              </w:rPr>
            </w:pPr>
            <w:r>
              <w:rPr>
                <w:rFonts w:ascii="Arial" w:hAnsi="Arial" w:cs="Arial"/>
                <w:sz w:val="20"/>
                <w:szCs w:val="20"/>
              </w:rPr>
              <w:t>(iv) Documentation of any adjustments made and the time the adjustments were completed to the affected facility operation by the owner or operator to demonstrate compliance with the applicable monitoring requirements.</w:t>
            </w:r>
          </w:p>
          <w:p w:rsidR="00A12ACD" w:rsidRDefault="00A12ACD" w:rsidP="00A12ACD">
            <w:pPr>
              <w:pStyle w:val="NormalWeb"/>
              <w:divId w:val="311909253"/>
              <w:rPr>
                <w:rFonts w:ascii="Arial" w:hAnsi="Arial" w:cs="Arial"/>
                <w:sz w:val="20"/>
                <w:szCs w:val="20"/>
              </w:rPr>
            </w:pPr>
            <w:r>
              <w:rPr>
                <w:rFonts w:ascii="Arial" w:hAnsi="Arial" w:cs="Arial"/>
                <w:sz w:val="20"/>
                <w:szCs w:val="20"/>
              </w:rPr>
              <w:t>(3) For each digital opacity compliance system, the owner or operator shall maintain records and submit reports according to the requirements specified in the site-specific monitoring plan approved by the Administrator</w:t>
            </w:r>
          </w:p>
          <w:p w:rsidR="00A12ACD" w:rsidRDefault="00A12ACD" w:rsidP="00A12ACD">
            <w:pPr>
              <w:pStyle w:val="NormalWeb"/>
              <w:divId w:val="311909253"/>
              <w:rPr>
                <w:rFonts w:ascii="Arial" w:hAnsi="Arial" w:cs="Arial"/>
                <w:sz w:val="20"/>
                <w:szCs w:val="20"/>
              </w:rPr>
            </w:pPr>
            <w:r>
              <w:rPr>
                <w:rFonts w:ascii="Arial" w:hAnsi="Arial" w:cs="Arial"/>
                <w:sz w:val="20"/>
                <w:szCs w:val="20"/>
              </w:rPr>
              <w:t>(d) The owner or operator of each affected facility subject to the SO</w:t>
            </w:r>
            <w:r>
              <w:rPr>
                <w:rFonts w:ascii="Arial" w:hAnsi="Arial" w:cs="Arial"/>
                <w:sz w:val="14"/>
                <w:szCs w:val="14"/>
                <w:vertAlign w:val="subscript"/>
              </w:rPr>
              <w:t>2</w:t>
            </w:r>
            <w:r>
              <w:rPr>
                <w:rFonts w:ascii="Arial" w:hAnsi="Arial" w:cs="Arial"/>
                <w:sz w:val="20"/>
                <w:szCs w:val="20"/>
              </w:rPr>
              <w:t xml:space="preserve"> emission limits, fuel oil sulfur limits, or percent reduction requirements under § 60.42c shall submit reports to the Administrator.</w:t>
            </w:r>
          </w:p>
          <w:p w:rsidR="00A12ACD" w:rsidRDefault="00A12ACD" w:rsidP="00A12ACD">
            <w:pPr>
              <w:pStyle w:val="NormalWeb"/>
              <w:divId w:val="311909253"/>
              <w:rPr>
                <w:rFonts w:ascii="Arial" w:hAnsi="Arial" w:cs="Arial"/>
                <w:sz w:val="20"/>
                <w:szCs w:val="20"/>
              </w:rPr>
            </w:pPr>
            <w:r>
              <w:rPr>
                <w:rFonts w:ascii="Arial" w:hAnsi="Arial" w:cs="Arial"/>
                <w:sz w:val="20"/>
                <w:szCs w:val="20"/>
              </w:rPr>
              <w:t>(e) The owner or operator of each affected facility subject to the SO</w:t>
            </w:r>
            <w:r>
              <w:rPr>
                <w:rFonts w:ascii="Arial" w:hAnsi="Arial" w:cs="Arial"/>
                <w:sz w:val="14"/>
                <w:szCs w:val="14"/>
                <w:vertAlign w:val="subscript"/>
              </w:rPr>
              <w:t>2</w:t>
            </w:r>
            <w:r>
              <w:rPr>
                <w:rFonts w:ascii="Arial" w:hAnsi="Arial" w:cs="Arial"/>
                <w:sz w:val="20"/>
                <w:szCs w:val="20"/>
              </w:rPr>
              <w:t xml:space="preserve"> emission limits, fuel oil sulfur limits, or percent reduction requirements under § 60.42c shall keep records and submit reports as required under paragraph (d) of this section, including the following information, as applicable.</w:t>
            </w:r>
          </w:p>
          <w:p w:rsidR="00A12ACD" w:rsidRDefault="00A12ACD" w:rsidP="00A12ACD">
            <w:pPr>
              <w:pStyle w:val="NormalWeb"/>
              <w:divId w:val="311909253"/>
              <w:rPr>
                <w:rFonts w:ascii="Arial" w:hAnsi="Arial" w:cs="Arial"/>
                <w:sz w:val="20"/>
                <w:szCs w:val="20"/>
              </w:rPr>
            </w:pPr>
            <w:r>
              <w:rPr>
                <w:rFonts w:ascii="Arial" w:hAnsi="Arial" w:cs="Arial"/>
                <w:sz w:val="20"/>
                <w:szCs w:val="20"/>
              </w:rPr>
              <w:t>(1) Calendar dates covered in the reporting period.</w:t>
            </w:r>
          </w:p>
          <w:p w:rsidR="00A12ACD" w:rsidRDefault="00A12ACD" w:rsidP="00A12ACD">
            <w:pPr>
              <w:pStyle w:val="NormalWeb"/>
              <w:divId w:val="311909253"/>
              <w:rPr>
                <w:rFonts w:ascii="Arial" w:hAnsi="Arial" w:cs="Arial"/>
                <w:sz w:val="20"/>
                <w:szCs w:val="20"/>
              </w:rPr>
            </w:pPr>
            <w:r>
              <w:rPr>
                <w:rFonts w:ascii="Arial" w:hAnsi="Arial" w:cs="Arial"/>
                <w:sz w:val="20"/>
                <w:szCs w:val="20"/>
              </w:rPr>
              <w:t>(2) Each 30-day average SO</w:t>
            </w:r>
            <w:r>
              <w:rPr>
                <w:rFonts w:ascii="Arial" w:hAnsi="Arial" w:cs="Arial"/>
                <w:sz w:val="14"/>
                <w:szCs w:val="14"/>
                <w:vertAlign w:val="subscript"/>
              </w:rPr>
              <w:t>2</w:t>
            </w:r>
            <w:r>
              <w:rPr>
                <w:rFonts w:ascii="Arial" w:hAnsi="Arial" w:cs="Arial"/>
                <w:sz w:val="20"/>
                <w:szCs w:val="20"/>
              </w:rPr>
              <w:t xml:space="preserve"> emission rate (</w:t>
            </w:r>
            <w:proofErr w:type="spellStart"/>
            <w:r>
              <w:rPr>
                <w:rFonts w:ascii="Arial" w:hAnsi="Arial" w:cs="Arial"/>
                <w:sz w:val="20"/>
                <w:szCs w:val="20"/>
              </w:rPr>
              <w:t>ng</w:t>
            </w:r>
            <w:proofErr w:type="spellEnd"/>
            <w:r>
              <w:rPr>
                <w:rFonts w:ascii="Arial" w:hAnsi="Arial" w:cs="Arial"/>
                <w:sz w:val="20"/>
                <w:szCs w:val="20"/>
              </w:rPr>
              <w:t>/J or lb/MMBtu), or 30-day average sulfur content (weight percent), calculated during the reporting period, ending with the last 30-day period; reasons for any noncompliance with the emission standards; and a description of corrective actions taken.</w:t>
            </w:r>
          </w:p>
          <w:p w:rsidR="00A12ACD" w:rsidRDefault="00A12ACD" w:rsidP="00A12ACD">
            <w:pPr>
              <w:pStyle w:val="NormalWeb"/>
              <w:divId w:val="311909253"/>
              <w:rPr>
                <w:rFonts w:ascii="Arial" w:hAnsi="Arial" w:cs="Arial"/>
                <w:sz w:val="20"/>
                <w:szCs w:val="20"/>
              </w:rPr>
            </w:pPr>
            <w:r>
              <w:rPr>
                <w:rFonts w:ascii="Arial" w:hAnsi="Arial" w:cs="Arial"/>
                <w:sz w:val="20"/>
                <w:szCs w:val="20"/>
              </w:rPr>
              <w:t>(3) Each 30-day average percent of potential SO</w:t>
            </w:r>
            <w:r>
              <w:rPr>
                <w:rFonts w:ascii="Arial" w:hAnsi="Arial" w:cs="Arial"/>
                <w:sz w:val="14"/>
                <w:szCs w:val="14"/>
                <w:vertAlign w:val="subscript"/>
              </w:rPr>
              <w:t>2</w:t>
            </w:r>
            <w:r>
              <w:rPr>
                <w:rFonts w:ascii="Arial" w:hAnsi="Arial" w:cs="Arial"/>
                <w:sz w:val="20"/>
                <w:szCs w:val="20"/>
              </w:rPr>
              <w:t xml:space="preserve"> emission rate calculated during the reporting period, ending with the last 30-day period; reasons for any noncompliance with the emission standards; and a description of the corrective actions taken.</w:t>
            </w:r>
          </w:p>
          <w:p w:rsidR="00A12ACD" w:rsidRDefault="00A12ACD" w:rsidP="00A12ACD">
            <w:pPr>
              <w:pStyle w:val="NormalWeb"/>
              <w:divId w:val="311909253"/>
              <w:rPr>
                <w:rFonts w:ascii="Arial" w:hAnsi="Arial" w:cs="Arial"/>
                <w:sz w:val="20"/>
                <w:szCs w:val="20"/>
              </w:rPr>
            </w:pPr>
            <w:r>
              <w:rPr>
                <w:rFonts w:ascii="Arial" w:hAnsi="Arial" w:cs="Arial"/>
                <w:sz w:val="20"/>
                <w:szCs w:val="20"/>
              </w:rPr>
              <w:t>(4) Identification of any steam generating unit operating days for which SO</w:t>
            </w:r>
            <w:r>
              <w:rPr>
                <w:rFonts w:ascii="Arial" w:hAnsi="Arial" w:cs="Arial"/>
                <w:sz w:val="14"/>
                <w:szCs w:val="14"/>
                <w:vertAlign w:val="subscript"/>
              </w:rPr>
              <w:t>2</w:t>
            </w:r>
            <w:r>
              <w:rPr>
                <w:rFonts w:ascii="Arial" w:hAnsi="Arial" w:cs="Arial"/>
                <w:sz w:val="20"/>
                <w:szCs w:val="20"/>
              </w:rPr>
              <w:t xml:space="preserve"> or </w:t>
            </w:r>
            <w:proofErr w:type="spellStart"/>
            <w:r>
              <w:rPr>
                <w:rFonts w:ascii="Arial" w:hAnsi="Arial" w:cs="Arial"/>
                <w:sz w:val="20"/>
                <w:szCs w:val="20"/>
              </w:rPr>
              <w:t>diluent</w:t>
            </w:r>
            <w:proofErr w:type="spellEnd"/>
            <w:r>
              <w:rPr>
                <w:rFonts w:ascii="Arial" w:hAnsi="Arial" w:cs="Arial"/>
                <w:sz w:val="20"/>
                <w:szCs w:val="20"/>
              </w:rPr>
              <w:t xml:space="preserve"> (O</w:t>
            </w:r>
            <w:r>
              <w:rPr>
                <w:rFonts w:ascii="Arial" w:hAnsi="Arial" w:cs="Arial"/>
                <w:sz w:val="14"/>
                <w:szCs w:val="14"/>
                <w:vertAlign w:val="subscript"/>
              </w:rPr>
              <w:t>2</w:t>
            </w:r>
            <w:r>
              <w:rPr>
                <w:rFonts w:ascii="Arial" w:hAnsi="Arial" w:cs="Arial"/>
                <w:sz w:val="20"/>
                <w:szCs w:val="20"/>
              </w:rPr>
              <w:t xml:space="preserve"> or CO</w:t>
            </w:r>
            <w:r>
              <w:rPr>
                <w:rFonts w:ascii="Arial" w:hAnsi="Arial" w:cs="Arial"/>
                <w:sz w:val="14"/>
                <w:szCs w:val="14"/>
                <w:vertAlign w:val="subscript"/>
              </w:rPr>
              <w:t>2</w:t>
            </w:r>
            <w:r>
              <w:rPr>
                <w:rFonts w:ascii="Arial" w:hAnsi="Arial" w:cs="Arial"/>
                <w:sz w:val="20"/>
                <w:szCs w:val="20"/>
              </w:rPr>
              <w:t xml:space="preserve"> ) data have not been obtained by an approved method for at least 75 percent of the operating hours; justification for not obtaining sufficient data; and a description of corrective actions taken.</w:t>
            </w:r>
          </w:p>
          <w:p w:rsidR="00A12ACD" w:rsidRDefault="00A12ACD" w:rsidP="00A12ACD">
            <w:pPr>
              <w:pStyle w:val="NormalWeb"/>
              <w:divId w:val="311909253"/>
              <w:rPr>
                <w:rFonts w:ascii="Arial" w:hAnsi="Arial" w:cs="Arial"/>
                <w:sz w:val="20"/>
                <w:szCs w:val="20"/>
              </w:rPr>
            </w:pPr>
            <w:r>
              <w:rPr>
                <w:rFonts w:ascii="Arial" w:hAnsi="Arial" w:cs="Arial"/>
                <w:sz w:val="20"/>
                <w:szCs w:val="20"/>
              </w:rPr>
              <w:t>(5) Identification of any times when emissions data have been excluded from the calculation of average emission rates; justification for excluding data; and a description of corrective actions taken if data have been excluded for periods other than those during which coal or oil were not combusted in the steam generating unit.</w:t>
            </w:r>
          </w:p>
          <w:p w:rsidR="00A12ACD" w:rsidRDefault="00A12ACD" w:rsidP="00A12ACD">
            <w:pPr>
              <w:pStyle w:val="NormalWeb"/>
              <w:divId w:val="311909253"/>
              <w:rPr>
                <w:rFonts w:ascii="Arial" w:hAnsi="Arial" w:cs="Arial"/>
                <w:sz w:val="20"/>
                <w:szCs w:val="20"/>
              </w:rPr>
            </w:pPr>
            <w:r>
              <w:rPr>
                <w:rFonts w:ascii="Arial" w:hAnsi="Arial" w:cs="Arial"/>
                <w:sz w:val="20"/>
                <w:szCs w:val="20"/>
              </w:rPr>
              <w:t>(6) Identification of the F factor used in calculations, method of determination, and type of fuel combusted.</w:t>
            </w:r>
          </w:p>
          <w:p w:rsidR="00A12ACD" w:rsidRDefault="00A12ACD" w:rsidP="00A12ACD">
            <w:pPr>
              <w:pStyle w:val="NormalWeb"/>
              <w:divId w:val="311909253"/>
              <w:rPr>
                <w:rFonts w:ascii="Arial" w:hAnsi="Arial" w:cs="Arial"/>
                <w:sz w:val="20"/>
                <w:szCs w:val="20"/>
              </w:rPr>
            </w:pPr>
            <w:r>
              <w:rPr>
                <w:rFonts w:ascii="Arial" w:hAnsi="Arial" w:cs="Arial"/>
                <w:sz w:val="20"/>
                <w:szCs w:val="20"/>
              </w:rPr>
              <w:t>(7) Identification of whether averages have been obtained based on CEMS rather than manual sampling methods.</w:t>
            </w:r>
          </w:p>
          <w:p w:rsidR="00A12ACD" w:rsidRDefault="00A12ACD" w:rsidP="00A12ACD">
            <w:pPr>
              <w:pStyle w:val="NormalWeb"/>
              <w:divId w:val="311909253"/>
              <w:rPr>
                <w:rFonts w:ascii="Arial" w:hAnsi="Arial" w:cs="Arial"/>
                <w:sz w:val="20"/>
                <w:szCs w:val="20"/>
              </w:rPr>
            </w:pPr>
            <w:r>
              <w:rPr>
                <w:rFonts w:ascii="Arial" w:hAnsi="Arial" w:cs="Arial"/>
                <w:sz w:val="20"/>
                <w:szCs w:val="20"/>
              </w:rPr>
              <w:t>(8) If a CEMS is used, identification of any times when the pollutant concentration exceeded the full span of the CEMS.</w:t>
            </w:r>
          </w:p>
          <w:p w:rsidR="00A12ACD" w:rsidRDefault="00A12ACD" w:rsidP="00A12ACD">
            <w:pPr>
              <w:pStyle w:val="NormalWeb"/>
              <w:divId w:val="311909253"/>
              <w:rPr>
                <w:rFonts w:ascii="Arial" w:hAnsi="Arial" w:cs="Arial"/>
                <w:sz w:val="20"/>
                <w:szCs w:val="20"/>
              </w:rPr>
            </w:pPr>
            <w:r>
              <w:rPr>
                <w:rFonts w:ascii="Arial" w:hAnsi="Arial" w:cs="Arial"/>
                <w:sz w:val="20"/>
                <w:szCs w:val="20"/>
              </w:rPr>
              <w:t>(9) If a CEMS is used, description of any modifications to the CEMS that could affect the ability of the CEMS to comply with Performance Specifications 2 or 3 of appendix B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(10) If a CEMS is used, results of daily CEMS drift tests and quarterly accuracy assessments as required under appendix F, Procedure 1 of this part.</w:t>
            </w:r>
          </w:p>
          <w:p w:rsidR="00A12ACD" w:rsidRDefault="00A12ACD" w:rsidP="00A12ACD">
            <w:pPr>
              <w:pStyle w:val="NormalWeb"/>
              <w:divId w:val="311909253"/>
              <w:rPr>
                <w:rFonts w:ascii="Arial" w:hAnsi="Arial" w:cs="Arial"/>
                <w:sz w:val="20"/>
                <w:szCs w:val="20"/>
              </w:rPr>
            </w:pPr>
            <w:r>
              <w:rPr>
                <w:rFonts w:ascii="Arial" w:hAnsi="Arial" w:cs="Arial"/>
                <w:sz w:val="20"/>
                <w:szCs w:val="20"/>
              </w:rPr>
              <w:t>(11) If fuel supplier certification is used to demonstrate compliance, records of fuel supplier certification as described under paragraph (f</w:t>
            </w:r>
            <w:proofErr w:type="gramStart"/>
            <w:r>
              <w:rPr>
                <w:rFonts w:ascii="Arial" w:hAnsi="Arial" w:cs="Arial"/>
                <w:sz w:val="20"/>
                <w:szCs w:val="20"/>
              </w:rPr>
              <w:t>)(</w:t>
            </w:r>
            <w:proofErr w:type="gramEnd"/>
            <w:r>
              <w:rPr>
                <w:rFonts w:ascii="Arial" w:hAnsi="Arial" w:cs="Arial"/>
                <w:sz w:val="20"/>
                <w:szCs w:val="20"/>
              </w:rPr>
              <w:t>1), (2), (3), or (4) of this section, as applicable. In addition to records of fuel supplier certifications, the report shall include a certified statement signed by the owner or operator of the affected facility that the records of fuel supplier certifications submitted represent all of the fuel combusted during the reporting period.</w:t>
            </w:r>
          </w:p>
          <w:p w:rsidR="00A12ACD" w:rsidRDefault="00A12ACD" w:rsidP="00A12ACD">
            <w:pPr>
              <w:pStyle w:val="NormalWeb"/>
              <w:divId w:val="311909253"/>
              <w:rPr>
                <w:rFonts w:ascii="Arial" w:hAnsi="Arial" w:cs="Arial"/>
                <w:sz w:val="20"/>
                <w:szCs w:val="20"/>
              </w:rPr>
            </w:pPr>
            <w:r>
              <w:rPr>
                <w:rFonts w:ascii="Arial" w:hAnsi="Arial" w:cs="Arial"/>
                <w:sz w:val="20"/>
                <w:szCs w:val="20"/>
              </w:rPr>
              <w:t>(f) Fuel supplier certification shall include the following information:</w:t>
            </w:r>
          </w:p>
          <w:p w:rsidR="00A12ACD" w:rsidRDefault="00A12ACD" w:rsidP="00A12ACD">
            <w:pPr>
              <w:pStyle w:val="NormalWeb"/>
              <w:divId w:val="311909253"/>
              <w:rPr>
                <w:rFonts w:ascii="Arial" w:hAnsi="Arial" w:cs="Arial"/>
                <w:sz w:val="20"/>
                <w:szCs w:val="20"/>
              </w:rPr>
            </w:pPr>
            <w:r>
              <w:rPr>
                <w:rFonts w:ascii="Arial" w:hAnsi="Arial" w:cs="Arial"/>
                <w:sz w:val="20"/>
                <w:szCs w:val="20"/>
              </w:rPr>
              <w:t>(1) For distillate oil:</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name of the oil supplier;</w:t>
            </w:r>
          </w:p>
          <w:p w:rsidR="00A12ACD" w:rsidRDefault="00A12ACD" w:rsidP="00A12ACD">
            <w:pPr>
              <w:pStyle w:val="NormalWeb"/>
              <w:divId w:val="311909253"/>
              <w:rPr>
                <w:rFonts w:ascii="Arial" w:hAnsi="Arial" w:cs="Arial"/>
                <w:sz w:val="20"/>
                <w:szCs w:val="20"/>
              </w:rPr>
            </w:pPr>
            <w:r>
              <w:rPr>
                <w:rFonts w:ascii="Arial" w:hAnsi="Arial" w:cs="Arial"/>
                <w:sz w:val="20"/>
                <w:szCs w:val="20"/>
              </w:rPr>
              <w:t>(ii) A statement from the oil supplier that the oil complies with the specifications under the definition of distillate oil in § 60.41c; and</w:t>
            </w:r>
          </w:p>
          <w:p w:rsidR="00A12ACD" w:rsidRDefault="00A12ACD" w:rsidP="00A12ACD">
            <w:pPr>
              <w:pStyle w:val="NormalWeb"/>
              <w:divId w:val="311909253"/>
              <w:rPr>
                <w:rFonts w:ascii="Arial" w:hAnsi="Arial" w:cs="Arial"/>
                <w:sz w:val="20"/>
                <w:szCs w:val="20"/>
              </w:rPr>
            </w:pPr>
            <w:r>
              <w:rPr>
                <w:rFonts w:ascii="Arial" w:hAnsi="Arial" w:cs="Arial"/>
                <w:sz w:val="20"/>
                <w:szCs w:val="20"/>
              </w:rPr>
              <w:t>(iii) The sulfur content or maximum sulfur content of the oil.</w:t>
            </w:r>
          </w:p>
          <w:p w:rsidR="00A12ACD" w:rsidRDefault="00A12ACD" w:rsidP="00A12ACD">
            <w:pPr>
              <w:pStyle w:val="NormalWeb"/>
              <w:divId w:val="311909253"/>
              <w:rPr>
                <w:rFonts w:ascii="Arial" w:hAnsi="Arial" w:cs="Arial"/>
                <w:sz w:val="20"/>
                <w:szCs w:val="20"/>
              </w:rPr>
            </w:pPr>
            <w:r>
              <w:rPr>
                <w:rFonts w:ascii="Arial" w:hAnsi="Arial" w:cs="Arial"/>
                <w:sz w:val="20"/>
                <w:szCs w:val="20"/>
              </w:rPr>
              <w:t>(2) For residual oil:</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name of the oil supplier;</w:t>
            </w:r>
          </w:p>
          <w:p w:rsidR="00A12ACD" w:rsidRDefault="00A12ACD" w:rsidP="00A12ACD">
            <w:pPr>
              <w:pStyle w:val="NormalWeb"/>
              <w:divId w:val="311909253"/>
              <w:rPr>
                <w:rFonts w:ascii="Arial" w:hAnsi="Arial" w:cs="Arial"/>
                <w:sz w:val="20"/>
                <w:szCs w:val="20"/>
              </w:rPr>
            </w:pPr>
            <w:r>
              <w:rPr>
                <w:rFonts w:ascii="Arial" w:hAnsi="Arial" w:cs="Arial"/>
                <w:sz w:val="20"/>
                <w:szCs w:val="20"/>
              </w:rPr>
              <w:t>(ii) The location of the oil when the sample was drawn for analysis to determine the sulfur content of the oil, specifically including whether the oil was sampled as delivered to the affected facility, or whether the sample was drawn from oil in storage at the oil supplier's or oil refiner's facility, or other location;</w:t>
            </w:r>
          </w:p>
          <w:p w:rsidR="00A12ACD" w:rsidRDefault="00A12ACD" w:rsidP="00A12ACD">
            <w:pPr>
              <w:pStyle w:val="NormalWeb"/>
              <w:divId w:val="311909253"/>
              <w:rPr>
                <w:rFonts w:ascii="Arial" w:hAnsi="Arial" w:cs="Arial"/>
                <w:sz w:val="20"/>
                <w:szCs w:val="20"/>
              </w:rPr>
            </w:pPr>
            <w:r>
              <w:rPr>
                <w:rFonts w:ascii="Arial" w:hAnsi="Arial" w:cs="Arial"/>
                <w:sz w:val="20"/>
                <w:szCs w:val="20"/>
              </w:rPr>
              <w:t>(iii) The sulfur content of the oil from which the shipment came (or of the shipment itself); and</w:t>
            </w:r>
          </w:p>
          <w:p w:rsidR="00A12ACD" w:rsidRDefault="00A12ACD" w:rsidP="00A12ACD">
            <w:pPr>
              <w:pStyle w:val="NormalWeb"/>
              <w:divId w:val="311909253"/>
              <w:rPr>
                <w:rFonts w:ascii="Arial" w:hAnsi="Arial" w:cs="Arial"/>
                <w:sz w:val="20"/>
                <w:szCs w:val="20"/>
              </w:rPr>
            </w:pPr>
            <w:r>
              <w:rPr>
                <w:rFonts w:ascii="Arial" w:hAnsi="Arial" w:cs="Arial"/>
                <w:sz w:val="20"/>
                <w:szCs w:val="20"/>
              </w:rPr>
              <w:t>(iv) The method used to determine the sulfur content of the oil.</w:t>
            </w:r>
          </w:p>
          <w:p w:rsidR="00A12ACD" w:rsidRDefault="00A12ACD" w:rsidP="00A12ACD">
            <w:pPr>
              <w:pStyle w:val="NormalWeb"/>
              <w:divId w:val="311909253"/>
              <w:rPr>
                <w:rFonts w:ascii="Arial" w:hAnsi="Arial" w:cs="Arial"/>
                <w:sz w:val="20"/>
                <w:szCs w:val="20"/>
              </w:rPr>
            </w:pPr>
            <w:r>
              <w:rPr>
                <w:rFonts w:ascii="Arial" w:hAnsi="Arial" w:cs="Arial"/>
                <w:sz w:val="20"/>
                <w:szCs w:val="20"/>
              </w:rPr>
              <w:t>(3) For coal:</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name of the coal supplier;</w:t>
            </w:r>
          </w:p>
          <w:p w:rsidR="00A12ACD" w:rsidRDefault="00A12ACD" w:rsidP="00A12ACD">
            <w:pPr>
              <w:pStyle w:val="NormalWeb"/>
              <w:divId w:val="311909253"/>
              <w:rPr>
                <w:rFonts w:ascii="Arial" w:hAnsi="Arial" w:cs="Arial"/>
                <w:sz w:val="20"/>
                <w:szCs w:val="20"/>
              </w:rPr>
            </w:pPr>
            <w:r>
              <w:rPr>
                <w:rFonts w:ascii="Arial" w:hAnsi="Arial" w:cs="Arial"/>
                <w:sz w:val="20"/>
                <w:szCs w:val="20"/>
              </w:rPr>
              <w:t>(ii) The location of the coal when the sample was collected for analysis to determine the properties of the coal, specifically including whether the coal was sampled as delivered to the affected facility or whether the sample was collected from coal in storage at the mine, at a coal preparation plant, at a coal supplier's facility, or at another location. The certification shall include the name of the coal mine (and coal seam), coal storage facility, or coal preparation plant (where the sample was collected);</w:t>
            </w:r>
          </w:p>
          <w:p w:rsidR="00A12ACD" w:rsidRDefault="00A12ACD" w:rsidP="00A12ACD">
            <w:pPr>
              <w:pStyle w:val="NormalWeb"/>
              <w:divId w:val="311909253"/>
              <w:rPr>
                <w:rFonts w:ascii="Arial" w:hAnsi="Arial" w:cs="Arial"/>
                <w:sz w:val="20"/>
                <w:szCs w:val="20"/>
              </w:rPr>
            </w:pPr>
            <w:r>
              <w:rPr>
                <w:rFonts w:ascii="Arial" w:hAnsi="Arial" w:cs="Arial"/>
                <w:sz w:val="20"/>
                <w:szCs w:val="20"/>
              </w:rPr>
              <w:t>(iii) The results of the analysis of the coal from which the shipment came (or of the shipment itself) including the sulfur content, moisture content, ash content, and heat content; and</w:t>
            </w:r>
          </w:p>
          <w:p w:rsidR="00A12ACD" w:rsidRDefault="00A12ACD" w:rsidP="00A12ACD">
            <w:pPr>
              <w:pStyle w:val="NormalWeb"/>
              <w:divId w:val="311909253"/>
              <w:rPr>
                <w:rFonts w:ascii="Arial" w:hAnsi="Arial" w:cs="Arial"/>
                <w:sz w:val="20"/>
                <w:szCs w:val="20"/>
              </w:rPr>
            </w:pPr>
            <w:r>
              <w:rPr>
                <w:rFonts w:ascii="Arial" w:hAnsi="Arial" w:cs="Arial"/>
                <w:sz w:val="20"/>
                <w:szCs w:val="20"/>
              </w:rPr>
              <w:t>(iv) The methods used to determine the properties of the coal.</w:t>
            </w:r>
          </w:p>
          <w:p w:rsidR="00A12ACD" w:rsidRDefault="00A12ACD" w:rsidP="00A12ACD">
            <w:pPr>
              <w:pStyle w:val="NormalWeb"/>
              <w:divId w:val="311909253"/>
              <w:rPr>
                <w:rFonts w:ascii="Arial" w:hAnsi="Arial" w:cs="Arial"/>
                <w:sz w:val="20"/>
                <w:szCs w:val="20"/>
              </w:rPr>
            </w:pPr>
            <w:r>
              <w:rPr>
                <w:rFonts w:ascii="Arial" w:hAnsi="Arial" w:cs="Arial"/>
                <w:sz w:val="20"/>
                <w:szCs w:val="20"/>
              </w:rPr>
              <w:t>(4) For other fuels:</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The name of the supplier of the fuel;</w:t>
            </w:r>
          </w:p>
          <w:p w:rsidR="00A12ACD" w:rsidRDefault="00A12ACD" w:rsidP="00A12ACD">
            <w:pPr>
              <w:pStyle w:val="NormalWeb"/>
              <w:divId w:val="311909253"/>
              <w:rPr>
                <w:rFonts w:ascii="Arial" w:hAnsi="Arial" w:cs="Arial"/>
                <w:sz w:val="20"/>
                <w:szCs w:val="20"/>
              </w:rPr>
            </w:pPr>
            <w:r>
              <w:rPr>
                <w:rFonts w:ascii="Arial" w:hAnsi="Arial" w:cs="Arial"/>
                <w:sz w:val="20"/>
                <w:szCs w:val="20"/>
              </w:rPr>
              <w:t xml:space="preserve">(ii) The potential sulfur emissions rate or maximum potential sulfur emissions rate of the fuel in </w:t>
            </w:r>
            <w:proofErr w:type="spellStart"/>
            <w:r>
              <w:rPr>
                <w:rFonts w:ascii="Arial" w:hAnsi="Arial" w:cs="Arial"/>
                <w:sz w:val="20"/>
                <w:szCs w:val="20"/>
              </w:rPr>
              <w:t>ng</w:t>
            </w:r>
            <w:proofErr w:type="spellEnd"/>
            <w:r>
              <w:rPr>
                <w:rFonts w:ascii="Arial" w:hAnsi="Arial" w:cs="Arial"/>
                <w:sz w:val="20"/>
                <w:szCs w:val="20"/>
              </w:rPr>
              <w:t>/J heat input; and</w:t>
            </w:r>
          </w:p>
          <w:p w:rsidR="00A12ACD" w:rsidRDefault="00A12ACD" w:rsidP="00A12ACD">
            <w:pPr>
              <w:pStyle w:val="NormalWeb"/>
              <w:divId w:val="311909253"/>
              <w:rPr>
                <w:rFonts w:ascii="Arial" w:hAnsi="Arial" w:cs="Arial"/>
                <w:sz w:val="20"/>
                <w:szCs w:val="20"/>
              </w:rPr>
            </w:pPr>
            <w:r>
              <w:rPr>
                <w:rFonts w:ascii="Arial" w:hAnsi="Arial" w:cs="Arial"/>
                <w:sz w:val="20"/>
                <w:szCs w:val="20"/>
              </w:rPr>
              <w:t>(iii) The method used to determine the potential sulfur emissions rate of the fuel.</w:t>
            </w:r>
          </w:p>
          <w:p w:rsidR="00A12ACD" w:rsidRDefault="00A12ACD" w:rsidP="00A12ACD">
            <w:pPr>
              <w:pStyle w:val="NormalWeb"/>
              <w:divId w:val="311909253"/>
              <w:rPr>
                <w:rFonts w:ascii="Arial" w:hAnsi="Arial" w:cs="Arial"/>
                <w:sz w:val="20"/>
                <w:szCs w:val="20"/>
              </w:rPr>
            </w:pPr>
            <w:r>
              <w:rPr>
                <w:rFonts w:ascii="Arial" w:hAnsi="Arial" w:cs="Arial"/>
                <w:sz w:val="20"/>
                <w:szCs w:val="20"/>
              </w:rPr>
              <w:t>(g)(1) Except as provided under paragraphs (g)(2) and (g)(3) of this section, the owner or operator of each affected facility shall record and maintain records of the amount of each fuel combusted during each operating day.</w:t>
            </w:r>
          </w:p>
          <w:p w:rsidR="00A12ACD" w:rsidRDefault="00A12ACD" w:rsidP="00A12ACD">
            <w:pPr>
              <w:pStyle w:val="NormalWeb"/>
              <w:divId w:val="311909253"/>
              <w:rPr>
                <w:rFonts w:ascii="Arial" w:hAnsi="Arial" w:cs="Arial"/>
                <w:sz w:val="20"/>
                <w:szCs w:val="20"/>
              </w:rPr>
            </w:pPr>
            <w:r>
              <w:rPr>
                <w:rFonts w:ascii="Arial" w:hAnsi="Arial" w:cs="Arial"/>
                <w:sz w:val="20"/>
                <w:szCs w:val="20"/>
              </w:rPr>
              <w:t>(2) As an alternative to meeting the requirements of paragraph (g</w:t>
            </w:r>
            <w:proofErr w:type="gramStart"/>
            <w:r>
              <w:rPr>
                <w:rFonts w:ascii="Arial" w:hAnsi="Arial" w:cs="Arial"/>
                <w:sz w:val="20"/>
                <w:szCs w:val="20"/>
              </w:rPr>
              <w:t>)(</w:t>
            </w:r>
            <w:proofErr w:type="gramEnd"/>
            <w:r>
              <w:rPr>
                <w:rFonts w:ascii="Arial" w:hAnsi="Arial" w:cs="Arial"/>
                <w:sz w:val="20"/>
                <w:szCs w:val="20"/>
              </w:rPr>
              <w:t>1) of this section, the owner or operator of an affected facility that combusts only natural gas, wood, fuels using fuel certification in § 60.48c(f) to demonstrate compliance with the SO</w:t>
            </w:r>
            <w:r>
              <w:rPr>
                <w:rFonts w:ascii="Arial" w:hAnsi="Arial" w:cs="Arial"/>
                <w:sz w:val="14"/>
                <w:szCs w:val="14"/>
                <w:vertAlign w:val="subscript"/>
              </w:rPr>
              <w:t>2</w:t>
            </w:r>
            <w:r>
              <w:rPr>
                <w:rFonts w:ascii="Arial" w:hAnsi="Arial" w:cs="Arial"/>
                <w:sz w:val="20"/>
                <w:szCs w:val="20"/>
              </w:rPr>
              <w:t xml:space="preserve"> standard, fuels not subject to an emissions standard (excluding opacity), or a mixture of these fuels may elect to record and maintain records of the amount of each fuel combusted during each calendar month.</w:t>
            </w:r>
          </w:p>
          <w:p w:rsidR="00A12ACD" w:rsidRDefault="00A12ACD" w:rsidP="00A12ACD">
            <w:pPr>
              <w:pStyle w:val="NormalWeb"/>
              <w:divId w:val="311909253"/>
              <w:rPr>
                <w:rFonts w:ascii="Arial" w:hAnsi="Arial" w:cs="Arial"/>
                <w:sz w:val="20"/>
                <w:szCs w:val="20"/>
              </w:rPr>
            </w:pPr>
            <w:r>
              <w:rPr>
                <w:rFonts w:ascii="Arial" w:hAnsi="Arial" w:cs="Arial"/>
                <w:sz w:val="20"/>
                <w:szCs w:val="20"/>
              </w:rPr>
              <w:t>(3) As an alternative to meeting the requirements of paragraph (g)(1) of this section, the owner or operator of an affected facility or multiple affected facilities located on a contiguous property unit where the only fuels combusted in any steam generating unit (including steam generating units not subject to this subpart) at that property are natural gas, wood, distillate oil meeting the most current requirements in § 60.42C to use fuel certification to demonstrate compliance with the SO</w:t>
            </w:r>
            <w:r>
              <w:rPr>
                <w:rFonts w:ascii="Arial" w:hAnsi="Arial" w:cs="Arial"/>
                <w:sz w:val="14"/>
                <w:szCs w:val="14"/>
                <w:vertAlign w:val="subscript"/>
              </w:rPr>
              <w:t>2</w:t>
            </w:r>
            <w:r>
              <w:rPr>
                <w:rFonts w:ascii="Arial" w:hAnsi="Arial" w:cs="Arial"/>
                <w:sz w:val="20"/>
                <w:szCs w:val="20"/>
              </w:rPr>
              <w:t xml:space="preserve"> standard, and/or fuels, excluding coal and residual oil, not subject to an emissions standard (excluding opacity) may elect to record and maintain records of the total amount of each steam generating unit fuel delivered to that property during each calendar month.</w:t>
            </w:r>
          </w:p>
          <w:p w:rsidR="00A12ACD" w:rsidRDefault="00A12ACD" w:rsidP="00A12ACD">
            <w:pPr>
              <w:pStyle w:val="NormalWeb"/>
              <w:divId w:val="311909253"/>
              <w:rPr>
                <w:rFonts w:ascii="Arial" w:hAnsi="Arial" w:cs="Arial"/>
                <w:sz w:val="20"/>
                <w:szCs w:val="20"/>
              </w:rPr>
            </w:pPr>
            <w:r>
              <w:rPr>
                <w:rFonts w:ascii="Arial" w:hAnsi="Arial" w:cs="Arial"/>
                <w:sz w:val="20"/>
                <w:szCs w:val="20"/>
              </w:rPr>
              <w:t>(h) The owner or operator of each affected facility subject to a federally enforceable requirement limiting the annual capacity factor for any fuel or mixture of fuels under § 60.42c or § 60.43c shall calculate the annual capacity factor individually for each fuel combusted. The annual capacity factor is determined on a 12-month rolling average basis with a new annual capacity factor calculated at the end of the calendar month.</w:t>
            </w:r>
          </w:p>
          <w:p w:rsidR="00A12ACD" w:rsidRDefault="00A12ACD" w:rsidP="00A12ACD">
            <w:pPr>
              <w:pStyle w:val="NormalWeb"/>
              <w:divId w:val="311909253"/>
              <w:rPr>
                <w:rFonts w:ascii="Arial" w:hAnsi="Arial" w:cs="Arial"/>
                <w:sz w:val="20"/>
                <w:szCs w:val="20"/>
              </w:rPr>
            </w:pPr>
            <w:r>
              <w:rPr>
                <w:rFonts w:ascii="Arial" w:hAnsi="Arial" w:cs="Arial"/>
                <w:sz w:val="20"/>
                <w:szCs w:val="20"/>
              </w:rPr>
              <w:t>(</w:t>
            </w:r>
            <w:proofErr w:type="spellStart"/>
            <w:r>
              <w:rPr>
                <w:rFonts w:ascii="Arial" w:hAnsi="Arial" w:cs="Arial"/>
                <w:sz w:val="20"/>
                <w:szCs w:val="20"/>
              </w:rPr>
              <w:t>i</w:t>
            </w:r>
            <w:proofErr w:type="spellEnd"/>
            <w:r>
              <w:rPr>
                <w:rFonts w:ascii="Arial" w:hAnsi="Arial" w:cs="Arial"/>
                <w:sz w:val="20"/>
                <w:szCs w:val="20"/>
              </w:rPr>
              <w:t>) All records required under this section shall be maintained by the owner or operator of the affected facility for a period of two years following the date of such record.</w:t>
            </w:r>
          </w:p>
          <w:p w:rsidR="00A12ACD" w:rsidRDefault="00A12ACD" w:rsidP="00A12ACD">
            <w:pPr>
              <w:pStyle w:val="NormalWeb"/>
              <w:divId w:val="311909253"/>
              <w:rPr>
                <w:rFonts w:ascii="Arial" w:hAnsi="Arial" w:cs="Arial"/>
                <w:sz w:val="20"/>
                <w:szCs w:val="20"/>
              </w:rPr>
            </w:pPr>
            <w:r>
              <w:rPr>
                <w:rFonts w:ascii="Arial" w:hAnsi="Arial" w:cs="Arial"/>
                <w:sz w:val="20"/>
                <w:szCs w:val="20"/>
              </w:rPr>
              <w:t>(j) The reporting period for the reports required under this subpart is each six-month period. All reports shall be submitted to the Administrator and shall be postmarked by the 30th day following the end of the reporting period.</w:t>
            </w:r>
          </w:p>
          <w:p w:rsidR="00A12ACD" w:rsidRDefault="00A12ACD" w:rsidP="00A12ACD">
            <w:pPr>
              <w:pStyle w:val="cita"/>
              <w:divId w:val="311909253"/>
              <w:rPr>
                <w:rFonts w:ascii="Arial" w:hAnsi="Arial" w:cs="Arial"/>
              </w:rPr>
            </w:pPr>
            <w:r>
              <w:rPr>
                <w:rFonts w:ascii="Arial" w:hAnsi="Arial" w:cs="Arial"/>
              </w:rPr>
              <w:t>[72 FR 32759, June 13, 2007, as amended at 74 FR 5091, Jan. 28, 2009]</w:t>
            </w:r>
          </w:p>
          <w:p w:rsidR="00A12ACD" w:rsidRDefault="00A12ACD" w:rsidP="00A12ACD">
            <w:pPr>
              <w:divId w:val="311909253"/>
              <w:rPr>
                <w:rFonts w:ascii="Arial" w:eastAsia="Times New Roman" w:hAnsi="Arial" w:cs="Arial"/>
                <w:sz w:val="20"/>
                <w:szCs w:val="20"/>
              </w:rPr>
            </w:pPr>
          </w:p>
        </w:tc>
      </w:tr>
    </w:tbl>
    <w:p w:rsidR="00000000" w:rsidRDefault="008C2A92" w:rsidP="00A12ACD">
      <w:pPr>
        <w:shd w:val="clear" w:color="auto" w:fill="FFFFFF"/>
        <w:ind w:left="180" w:right="30"/>
        <w:divId w:val="225652768"/>
        <w:rPr>
          <w:rFonts w:ascii="Arial" w:eastAsia="Times New Roman" w:hAnsi="Arial" w:cs="Arial"/>
          <w:color w:val="000000"/>
          <w:sz w:val="15"/>
          <w:szCs w:val="15"/>
          <w:lang/>
        </w:rPr>
      </w:pPr>
      <w:r>
        <w:rPr>
          <w:rFonts w:ascii="Arial" w:eastAsia="Times New Roman" w:hAnsi="Arial" w:cs="Arial"/>
          <w:color w:val="000000"/>
          <w:sz w:val="15"/>
          <w:szCs w:val="15"/>
          <w:lang/>
        </w:rPr>
        <w:t xml:space="preserve"> </w:t>
      </w:r>
    </w:p>
    <w:sectPr w:rsidR="00000000" w:rsidSect="008C2A92">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10"/>
  <w:proofState w:spelling="clean" w:grammar="clean"/>
  <w:defaultTabStop w:val="720"/>
  <w:noPunctuationKerning/>
  <w:characterSpacingControl w:val="doNotCompress"/>
  <w:compat/>
  <w:rsids>
    <w:rsidRoot w:val="00A31D5D"/>
    <w:rsid w:val="00694D10"/>
    <w:rsid w:val="008C2A92"/>
    <w:rsid w:val="00A12ACD"/>
    <w:rsid w:val="00A31D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200" w:after="100"/>
      <w:jc w:val="center"/>
      <w:outlineLvl w:val="0"/>
    </w:pPr>
    <w:rPr>
      <w:b/>
      <w:bCs/>
      <w:kern w:val="36"/>
      <w:sz w:val="20"/>
      <w:szCs w:val="20"/>
    </w:rPr>
  </w:style>
  <w:style w:type="paragraph" w:styleId="Heading2">
    <w:name w:val="heading 2"/>
    <w:basedOn w:val="Normal"/>
    <w:link w:val="Heading2Char"/>
    <w:uiPriority w:val="9"/>
    <w:qFormat/>
    <w:pPr>
      <w:spacing w:before="200" w:after="100"/>
      <w:jc w:val="center"/>
      <w:outlineLvl w:val="1"/>
    </w:pPr>
    <w:rPr>
      <w:b/>
      <w:bCs/>
      <w:sz w:val="20"/>
      <w:szCs w:val="20"/>
    </w:rPr>
  </w:style>
  <w:style w:type="paragraph" w:styleId="Heading3">
    <w:name w:val="heading 3"/>
    <w:basedOn w:val="Normal"/>
    <w:link w:val="Heading3Char"/>
    <w:uiPriority w:val="9"/>
    <w:qFormat/>
    <w:pPr>
      <w:spacing w:before="200" w:after="100"/>
      <w:jc w:val="center"/>
      <w:outlineLvl w:val="2"/>
    </w:pPr>
    <w:rPr>
      <w:b/>
      <w:bCs/>
      <w:sz w:val="20"/>
      <w:szCs w:val="20"/>
    </w:rPr>
  </w:style>
  <w:style w:type="paragraph" w:styleId="Heading4">
    <w:name w:val="heading 4"/>
    <w:basedOn w:val="Normal"/>
    <w:link w:val="Heading4Char"/>
    <w:uiPriority w:val="9"/>
    <w:qFormat/>
    <w:pPr>
      <w:spacing w:before="200" w:after="100"/>
      <w:jc w:val="center"/>
      <w:outlineLvl w:val="3"/>
    </w:pPr>
    <w:rPr>
      <w:b/>
      <w:bCs/>
      <w:sz w:val="20"/>
      <w:szCs w:val="20"/>
    </w:rPr>
  </w:style>
  <w:style w:type="paragraph" w:styleId="Heading5">
    <w:name w:val="heading 5"/>
    <w:basedOn w:val="Normal"/>
    <w:link w:val="Heading5Char"/>
    <w:uiPriority w:val="9"/>
    <w:qFormat/>
    <w:pPr>
      <w:spacing w:before="200" w:after="100"/>
      <w:jc w:val="center"/>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Pr>
      <w:rFonts w:ascii="Arial" w:hAnsi="Arial" w:cs="Arial" w:hint="default"/>
      <w:strike w:val="0"/>
      <w:dstrike w:val="0"/>
      <w:color w:val="800080"/>
      <w:sz w:val="17"/>
      <w:szCs w:val="17"/>
      <w:u w:val="none"/>
      <w:effect w:val="none"/>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pPr>
      <w:spacing w:before="100" w:beforeAutospacing="1" w:after="100" w:afterAutospacing="1"/>
      <w:ind w:firstLine="480"/>
    </w:pPr>
  </w:style>
  <w:style w:type="paragraph" w:customStyle="1" w:styleId="fullcenter">
    <w:name w:val="fullcenter"/>
    <w:basedOn w:val="Normal"/>
    <w:pPr>
      <w:spacing w:before="100" w:beforeAutospacing="1" w:after="100" w:afterAutospacing="1"/>
      <w:jc w:val="center"/>
    </w:pPr>
  </w:style>
  <w:style w:type="paragraph" w:customStyle="1" w:styleId="linktoamn">
    <w:name w:val="linktoamn"/>
    <w:basedOn w:val="Normal"/>
    <w:pPr>
      <w:spacing w:before="100" w:beforeAutospacing="1" w:after="100" w:afterAutospacing="1"/>
      <w:jc w:val="center"/>
    </w:pPr>
  </w:style>
  <w:style w:type="paragraph" w:customStyle="1" w:styleId="bfrpage">
    <w:name w:val="bfrpage"/>
    <w:basedOn w:val="Normal"/>
    <w:pPr>
      <w:spacing w:before="100" w:beforeAutospacing="1" w:after="100" w:afterAutospacing="1"/>
      <w:jc w:val="center"/>
    </w:pPr>
  </w:style>
  <w:style w:type="paragraph" w:customStyle="1" w:styleId="breghd">
    <w:name w:val="breghd"/>
    <w:basedOn w:val="Normal"/>
    <w:pPr>
      <w:spacing w:before="100" w:beforeAutospacing="1" w:after="100" w:afterAutospacing="1"/>
    </w:pPr>
  </w:style>
  <w:style w:type="paragraph" w:customStyle="1" w:styleId="effdates">
    <w:name w:val="effdates"/>
    <w:basedOn w:val="Normal"/>
    <w:pPr>
      <w:spacing w:before="100" w:beforeAutospacing="1" w:after="100" w:afterAutospacing="1"/>
      <w:ind w:firstLine="480"/>
    </w:pPr>
    <w:rPr>
      <w:smallCaps/>
    </w:rPr>
  </w:style>
  <w:style w:type="paragraph" w:customStyle="1" w:styleId="updated">
    <w:name w:val="updated"/>
    <w:basedOn w:val="Normal"/>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pPr>
      <w:spacing w:before="100" w:beforeAutospacing="1" w:after="100" w:afterAutospacing="1"/>
    </w:pPr>
    <w:rPr>
      <w:sz w:val="17"/>
      <w:szCs w:val="17"/>
    </w:rPr>
  </w:style>
  <w:style w:type="paragraph" w:customStyle="1" w:styleId="top-menu">
    <w:name w:val="top-menu"/>
    <w:basedOn w:val="Normal"/>
    <w:pPr>
      <w:spacing w:before="100" w:beforeAutospacing="1" w:after="100" w:afterAutospacing="1"/>
      <w:ind w:firstLine="480"/>
    </w:pPr>
  </w:style>
  <w:style w:type="paragraph" w:customStyle="1" w:styleId="top-menu-pipe">
    <w:name w:val="top-menu-pipe"/>
    <w:basedOn w:val="Normal"/>
    <w:pPr>
      <w:ind w:firstLine="480"/>
    </w:pPr>
  </w:style>
  <w:style w:type="paragraph" w:customStyle="1" w:styleId="clear">
    <w:name w:val="clear"/>
    <w:basedOn w:val="Normal"/>
    <w:pPr>
      <w:spacing w:before="100" w:beforeAutospacing="1" w:after="100" w:afterAutospacing="1"/>
      <w:ind w:firstLine="480"/>
    </w:pPr>
  </w:style>
  <w:style w:type="paragraph" w:customStyle="1" w:styleId="hits">
    <w:name w:val="hits"/>
    <w:basedOn w:val="Normal"/>
    <w:pPr>
      <w:spacing w:before="100" w:beforeAutospacing="1" w:after="100" w:afterAutospacing="1"/>
      <w:ind w:firstLine="480"/>
    </w:pPr>
    <w:rPr>
      <w:color w:val="FF0000"/>
    </w:rPr>
  </w:style>
  <w:style w:type="paragraph" w:customStyle="1" w:styleId="menu-home-title">
    <w:name w:val="menu-home-title"/>
    <w:basedOn w:val="Normal"/>
    <w:pPr>
      <w:spacing w:before="100" w:beforeAutospacing="1" w:after="100" w:afterAutospacing="1"/>
      <w:ind w:firstLine="480"/>
    </w:pPr>
    <w:rPr>
      <w:color w:val="000000"/>
    </w:rPr>
  </w:style>
  <w:style w:type="paragraph" w:customStyle="1" w:styleId="menu-customers-title">
    <w:name w:val="menu-customers-title"/>
    <w:basedOn w:val="Normal"/>
    <w:pPr>
      <w:spacing w:before="100" w:beforeAutospacing="1" w:after="100" w:afterAutospacing="1"/>
      <w:ind w:firstLine="480"/>
    </w:pPr>
    <w:rPr>
      <w:color w:val="666633"/>
    </w:rPr>
  </w:style>
  <w:style w:type="paragraph" w:customStyle="1" w:styleId="menu-vendors-title">
    <w:name w:val="menu-vendors-title"/>
    <w:basedOn w:val="Normal"/>
    <w:pPr>
      <w:spacing w:before="100" w:beforeAutospacing="1" w:after="100" w:afterAutospacing="1"/>
      <w:ind w:firstLine="480"/>
    </w:pPr>
    <w:rPr>
      <w:color w:val="333366"/>
    </w:rPr>
  </w:style>
  <w:style w:type="paragraph" w:customStyle="1" w:styleId="menu-libraries-title">
    <w:name w:val="menu-libraries-title"/>
    <w:basedOn w:val="Normal"/>
    <w:pPr>
      <w:spacing w:before="100" w:beforeAutospacing="1" w:after="100" w:afterAutospacing="1"/>
      <w:ind w:firstLine="480"/>
    </w:pPr>
    <w:rPr>
      <w:color w:val="006666"/>
    </w:rPr>
  </w:style>
  <w:style w:type="paragraph" w:customStyle="1" w:styleId="two-col-layout-table">
    <w:name w:val="two-col-layout-table"/>
    <w:basedOn w:val="Normal"/>
    <w:pPr>
      <w:pBdr>
        <w:top w:val="single" w:sz="36" w:space="0" w:color="FFFFFF"/>
      </w:pBdr>
      <w:shd w:val="clear" w:color="auto" w:fill="FFFFFF"/>
      <w:spacing w:before="100" w:beforeAutospacing="1" w:after="100" w:afterAutospacing="1"/>
      <w:ind w:firstLine="480"/>
    </w:pPr>
  </w:style>
  <w:style w:type="paragraph" w:customStyle="1" w:styleId="two-col-layout-left">
    <w:name w:val="two-col-layout-left"/>
    <w:basedOn w:val="Normal"/>
    <w:pPr>
      <w:pBdr>
        <w:right w:val="single" w:sz="6" w:space="4" w:color="CCCCCC"/>
      </w:pBdr>
      <w:spacing w:before="100" w:beforeAutospacing="1" w:after="100" w:afterAutospacing="1"/>
      <w:ind w:firstLine="480"/>
    </w:pPr>
  </w:style>
  <w:style w:type="paragraph" w:customStyle="1" w:styleId="menu-search-title">
    <w:name w:val="menu-search-title"/>
    <w:basedOn w:val="Normal"/>
    <w:pPr>
      <w:spacing w:before="100" w:beforeAutospacing="1" w:after="100" w:afterAutospacing="1"/>
      <w:ind w:firstLine="480"/>
    </w:pPr>
    <w:rPr>
      <w:color w:val="990033"/>
    </w:rPr>
  </w:style>
  <w:style w:type="paragraph" w:customStyle="1" w:styleId="left-menu-title">
    <w:name w:val="left-menu-title"/>
    <w:basedOn w:val="Normal"/>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pPr>
      <w:spacing w:before="100" w:beforeAutospacing="1" w:after="100" w:afterAutospacing="1"/>
      <w:ind w:left="150" w:firstLine="480"/>
    </w:pPr>
  </w:style>
  <w:style w:type="paragraph" w:customStyle="1" w:styleId="sidebar-title-bar">
    <w:name w:val="sidebar-title-bar"/>
    <w:basedOn w:val="Normal"/>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pPr>
      <w:spacing w:before="150" w:after="100" w:afterAutospacing="1"/>
      <w:ind w:firstLine="480"/>
    </w:pPr>
  </w:style>
  <w:style w:type="paragraph" w:customStyle="1" w:styleId="vert-spacer-450">
    <w:name w:val="vert-spacer-450"/>
    <w:basedOn w:val="Normal"/>
    <w:pPr>
      <w:spacing w:before="100" w:beforeAutospacing="1" w:after="100" w:afterAutospacing="1"/>
      <w:ind w:firstLine="480"/>
    </w:pPr>
  </w:style>
  <w:style w:type="paragraph" w:customStyle="1" w:styleId="page-title">
    <w:name w:val="page-title"/>
    <w:basedOn w:val="Normal"/>
    <w:pPr>
      <w:ind w:firstLine="480"/>
    </w:pPr>
    <w:rPr>
      <w:caps/>
      <w:sz w:val="27"/>
      <w:szCs w:val="27"/>
    </w:rPr>
  </w:style>
  <w:style w:type="paragraph" w:customStyle="1" w:styleId="hd1">
    <w:name w:val="hd1"/>
    <w:basedOn w:val="Normal"/>
    <w:pPr>
      <w:spacing w:before="100" w:beforeAutospacing="1" w:after="100" w:afterAutospacing="1"/>
      <w:ind w:firstLine="480"/>
      <w:jc w:val="center"/>
    </w:pPr>
    <w:rPr>
      <w:smallCaps/>
    </w:rPr>
  </w:style>
  <w:style w:type="paragraph" w:customStyle="1" w:styleId="hd2">
    <w:name w:val="hd2"/>
    <w:basedOn w:val="Normal"/>
    <w:pPr>
      <w:spacing w:before="100" w:beforeAutospacing="1" w:after="100" w:afterAutospacing="1"/>
      <w:ind w:firstLine="480"/>
      <w:jc w:val="center"/>
    </w:pPr>
    <w:rPr>
      <w:i/>
      <w:iCs/>
    </w:rPr>
  </w:style>
  <w:style w:type="paragraph" w:customStyle="1" w:styleId="hd3">
    <w:name w:val="hd3"/>
    <w:basedOn w:val="Normal"/>
    <w:pPr>
      <w:spacing w:before="100" w:beforeAutospacing="1" w:after="100" w:afterAutospacing="1"/>
      <w:ind w:firstLine="480"/>
      <w:jc w:val="center"/>
    </w:pPr>
  </w:style>
  <w:style w:type="paragraph" w:customStyle="1" w:styleId="hd4">
    <w:name w:val="hd4"/>
    <w:basedOn w:val="Normal"/>
    <w:pPr>
      <w:spacing w:before="100" w:beforeAutospacing="1" w:after="100" w:afterAutospacing="1"/>
      <w:ind w:firstLine="480"/>
      <w:jc w:val="center"/>
    </w:pPr>
  </w:style>
  <w:style w:type="paragraph" w:customStyle="1" w:styleId="hd5">
    <w:name w:val="hd5"/>
    <w:basedOn w:val="Normal"/>
    <w:pPr>
      <w:spacing w:before="100" w:beforeAutospacing="1" w:after="100" w:afterAutospacing="1"/>
      <w:ind w:firstLine="480"/>
      <w:jc w:val="center"/>
    </w:pPr>
    <w:rPr>
      <w:b/>
      <w:bCs/>
      <w:sz w:val="23"/>
      <w:szCs w:val="23"/>
    </w:rPr>
  </w:style>
  <w:style w:type="paragraph" w:customStyle="1" w:styleId="hed1">
    <w:name w:val="hed1"/>
    <w:basedOn w:val="Normal"/>
    <w:pPr>
      <w:spacing w:before="100" w:beforeAutospacing="1" w:after="100" w:afterAutospacing="1"/>
      <w:ind w:firstLine="480"/>
      <w:jc w:val="center"/>
    </w:pPr>
    <w:rPr>
      <w:b/>
      <w:bCs/>
      <w:sz w:val="20"/>
      <w:szCs w:val="20"/>
    </w:rPr>
  </w:style>
  <w:style w:type="paragraph" w:customStyle="1" w:styleId="frp">
    <w:name w:val="frp"/>
    <w:basedOn w:val="Normal"/>
    <w:pPr>
      <w:spacing w:before="100" w:beforeAutospacing="1" w:after="100" w:afterAutospacing="1"/>
      <w:ind w:right="480"/>
      <w:jc w:val="right"/>
    </w:pPr>
  </w:style>
  <w:style w:type="paragraph" w:customStyle="1" w:styleId="frp0">
    <w:name w:val="frp0"/>
    <w:basedOn w:val="Normal"/>
    <w:pPr>
      <w:spacing w:before="100" w:beforeAutospacing="1" w:after="100" w:afterAutospacing="1"/>
      <w:jc w:val="right"/>
    </w:pPr>
  </w:style>
  <w:style w:type="paragraph" w:customStyle="1" w:styleId="p1">
    <w:name w:val="p1"/>
    <w:basedOn w:val="Normal"/>
    <w:pPr>
      <w:spacing w:before="100" w:beforeAutospacing="1" w:after="100" w:afterAutospacing="1"/>
      <w:ind w:left="1440" w:hanging="480"/>
    </w:pPr>
  </w:style>
  <w:style w:type="paragraph" w:customStyle="1" w:styleId="p-1">
    <w:name w:val="p-1"/>
    <w:basedOn w:val="Normal"/>
    <w:pPr>
      <w:spacing w:before="100" w:beforeAutospacing="1" w:after="100" w:afterAutospacing="1"/>
      <w:ind w:left="480"/>
    </w:pPr>
  </w:style>
  <w:style w:type="paragraph" w:customStyle="1" w:styleId="p2">
    <w:name w:val="p2"/>
    <w:basedOn w:val="Normal"/>
    <w:pPr>
      <w:spacing w:before="100" w:beforeAutospacing="1" w:after="100" w:afterAutospacing="1"/>
      <w:ind w:left="480" w:firstLine="480"/>
    </w:pPr>
  </w:style>
  <w:style w:type="paragraph" w:customStyle="1" w:styleId="p-2">
    <w:name w:val="p-2"/>
    <w:basedOn w:val="Normal"/>
    <w:pPr>
      <w:spacing w:before="100" w:beforeAutospacing="1" w:after="100" w:afterAutospacing="1"/>
      <w:ind w:left="960"/>
    </w:pPr>
  </w:style>
  <w:style w:type="paragraph" w:customStyle="1" w:styleId="p-3">
    <w:name w:val="p-3"/>
    <w:basedOn w:val="Normal"/>
    <w:pPr>
      <w:spacing w:before="100" w:beforeAutospacing="1" w:after="100" w:afterAutospacing="1"/>
      <w:ind w:left="960" w:hanging="480"/>
    </w:pPr>
  </w:style>
  <w:style w:type="paragraph" w:customStyle="1" w:styleId="fp">
    <w:name w:val="fp"/>
    <w:basedOn w:val="Normal"/>
    <w:pPr>
      <w:spacing w:before="200" w:after="100" w:afterAutospacing="1"/>
    </w:pPr>
  </w:style>
  <w:style w:type="paragraph" w:customStyle="1" w:styleId="contentsp">
    <w:name w:val="contentsp"/>
    <w:basedOn w:val="Normal"/>
    <w:pPr>
      <w:spacing w:before="200" w:after="100" w:afterAutospacing="1"/>
    </w:pPr>
    <w:rPr>
      <w:b/>
      <w:bCs/>
      <w:sz w:val="20"/>
      <w:szCs w:val="20"/>
    </w:rPr>
  </w:style>
  <w:style w:type="paragraph" w:customStyle="1" w:styleId="contentsg">
    <w:name w:val="contentsg"/>
    <w:basedOn w:val="Normal"/>
    <w:pPr>
      <w:spacing w:before="200" w:after="100" w:afterAutospacing="1"/>
    </w:pPr>
    <w:rPr>
      <w:smallCaps/>
      <w:sz w:val="20"/>
      <w:szCs w:val="20"/>
    </w:rPr>
  </w:style>
  <w:style w:type="paragraph" w:customStyle="1" w:styleId="updatetitle">
    <w:name w:val="updatetitle"/>
    <w:basedOn w:val="Normal"/>
    <w:pPr>
      <w:spacing w:before="200" w:after="100" w:afterAutospacing="1"/>
    </w:pPr>
  </w:style>
  <w:style w:type="paragraph" w:customStyle="1" w:styleId="source">
    <w:name w:val="source"/>
    <w:basedOn w:val="Normal"/>
    <w:pPr>
      <w:spacing w:before="200" w:after="100" w:afterAutospacing="1"/>
      <w:ind w:firstLine="480"/>
    </w:pPr>
    <w:rPr>
      <w:sz w:val="18"/>
      <w:szCs w:val="18"/>
    </w:rPr>
  </w:style>
  <w:style w:type="paragraph" w:customStyle="1" w:styleId="ednote">
    <w:name w:val="ednote"/>
    <w:basedOn w:val="Normal"/>
    <w:pPr>
      <w:spacing w:before="200" w:after="100" w:afterAutospacing="1"/>
      <w:ind w:firstLine="480"/>
    </w:pPr>
    <w:rPr>
      <w:sz w:val="18"/>
      <w:szCs w:val="18"/>
    </w:rPr>
  </w:style>
  <w:style w:type="paragraph" w:customStyle="1" w:styleId="effdnot">
    <w:name w:val="effdnot"/>
    <w:basedOn w:val="Normal"/>
    <w:pPr>
      <w:spacing w:before="200" w:after="100" w:afterAutospacing="1"/>
      <w:ind w:firstLine="480"/>
    </w:pPr>
    <w:rPr>
      <w:sz w:val="18"/>
      <w:szCs w:val="18"/>
    </w:rPr>
  </w:style>
  <w:style w:type="paragraph" w:customStyle="1" w:styleId="example">
    <w:name w:val="example"/>
    <w:basedOn w:val="Normal"/>
    <w:pPr>
      <w:spacing w:before="200" w:after="100" w:afterAutospacing="1"/>
      <w:ind w:firstLine="480"/>
    </w:pPr>
    <w:rPr>
      <w:sz w:val="18"/>
      <w:szCs w:val="18"/>
    </w:rPr>
  </w:style>
  <w:style w:type="paragraph" w:customStyle="1" w:styleId="crossref">
    <w:name w:val="crossref"/>
    <w:basedOn w:val="Normal"/>
    <w:pPr>
      <w:spacing w:before="200" w:after="100" w:afterAutospacing="1"/>
      <w:ind w:firstLine="480"/>
    </w:pPr>
    <w:rPr>
      <w:sz w:val="18"/>
      <w:szCs w:val="18"/>
    </w:rPr>
  </w:style>
  <w:style w:type="paragraph" w:customStyle="1" w:styleId="note">
    <w:name w:val="note"/>
    <w:basedOn w:val="Normal"/>
    <w:pPr>
      <w:spacing w:before="200" w:after="100" w:afterAutospacing="1"/>
      <w:ind w:firstLine="480"/>
    </w:pPr>
    <w:rPr>
      <w:sz w:val="18"/>
      <w:szCs w:val="18"/>
    </w:rPr>
  </w:style>
  <w:style w:type="paragraph" w:customStyle="1" w:styleId="cita">
    <w:name w:val="cita"/>
    <w:basedOn w:val="Normal"/>
    <w:pPr>
      <w:spacing w:before="200" w:after="100" w:afterAutospacing="1"/>
    </w:pPr>
    <w:rPr>
      <w:sz w:val="18"/>
      <w:szCs w:val="18"/>
    </w:rPr>
  </w:style>
  <w:style w:type="paragraph" w:customStyle="1" w:styleId="appro">
    <w:name w:val="appro"/>
    <w:basedOn w:val="Normal"/>
    <w:pPr>
      <w:spacing w:before="200" w:after="100" w:afterAutospacing="1"/>
    </w:pPr>
    <w:rPr>
      <w:sz w:val="18"/>
      <w:szCs w:val="18"/>
    </w:rPr>
  </w:style>
  <w:style w:type="paragraph" w:customStyle="1" w:styleId="auth">
    <w:name w:val="auth"/>
    <w:basedOn w:val="Normal"/>
    <w:pPr>
      <w:spacing w:before="200" w:after="100" w:afterAutospacing="1"/>
      <w:ind w:firstLine="480"/>
    </w:pPr>
    <w:rPr>
      <w:sz w:val="18"/>
      <w:szCs w:val="18"/>
    </w:rPr>
  </w:style>
  <w:style w:type="paragraph" w:customStyle="1" w:styleId="parauth">
    <w:name w:val="parauth"/>
    <w:basedOn w:val="Normal"/>
    <w:pPr>
      <w:spacing w:before="200" w:after="100" w:afterAutospacing="1"/>
    </w:pPr>
    <w:rPr>
      <w:sz w:val="18"/>
      <w:szCs w:val="18"/>
    </w:rPr>
  </w:style>
  <w:style w:type="paragraph" w:customStyle="1" w:styleId="secauth">
    <w:name w:val="secauth"/>
    <w:basedOn w:val="Normal"/>
    <w:pPr>
      <w:spacing w:before="200" w:after="100" w:afterAutospacing="1"/>
    </w:pPr>
    <w:rPr>
      <w:sz w:val="18"/>
      <w:szCs w:val="18"/>
    </w:rPr>
  </w:style>
  <w:style w:type="paragraph" w:customStyle="1" w:styleId="title">
    <w:name w:val="title"/>
    <w:basedOn w:val="Normal"/>
    <w:pPr>
      <w:spacing w:before="200" w:after="100" w:afterAutospacing="1"/>
    </w:pPr>
  </w:style>
  <w:style w:type="paragraph" w:customStyle="1" w:styleId="subtitle">
    <w:name w:val="subtitle"/>
    <w:basedOn w:val="Normal"/>
    <w:pPr>
      <w:spacing w:before="200" w:after="100" w:afterAutospacing="1"/>
    </w:pPr>
  </w:style>
  <w:style w:type="paragraph" w:customStyle="1" w:styleId="chapter">
    <w:name w:val="chapter"/>
    <w:basedOn w:val="Normal"/>
    <w:pPr>
      <w:spacing w:before="200" w:after="100" w:afterAutospacing="1"/>
    </w:pPr>
  </w:style>
  <w:style w:type="paragraph" w:customStyle="1" w:styleId="subchapter">
    <w:name w:val="subchapter"/>
    <w:basedOn w:val="Normal"/>
    <w:pPr>
      <w:spacing w:before="200" w:after="100" w:afterAutospacing="1"/>
    </w:pPr>
  </w:style>
  <w:style w:type="paragraph" w:customStyle="1" w:styleId="part">
    <w:name w:val="part"/>
    <w:basedOn w:val="Normal"/>
    <w:pPr>
      <w:spacing w:before="200" w:after="100" w:afterAutospacing="1"/>
    </w:pPr>
  </w:style>
  <w:style w:type="paragraph" w:customStyle="1" w:styleId="subpart">
    <w:name w:val="subpart"/>
    <w:basedOn w:val="Normal"/>
    <w:pPr>
      <w:spacing w:before="200" w:after="100" w:afterAutospacing="1"/>
    </w:pPr>
  </w:style>
  <w:style w:type="paragraph" w:customStyle="1" w:styleId="apphead">
    <w:name w:val="apphead"/>
    <w:basedOn w:val="Normal"/>
    <w:pPr>
      <w:spacing w:before="200" w:after="100"/>
      <w:ind w:firstLine="480"/>
      <w:jc w:val="center"/>
    </w:pPr>
    <w:rPr>
      <w:smallCaps/>
      <w:sz w:val="20"/>
      <w:szCs w:val="20"/>
    </w:rPr>
  </w:style>
  <w:style w:type="paragraph" w:customStyle="1" w:styleId="sphead">
    <w:name w:val="sphead"/>
    <w:basedOn w:val="Normal"/>
    <w:pPr>
      <w:spacing w:before="200" w:after="100"/>
    </w:pPr>
    <w:rPr>
      <w:b/>
      <w:bCs/>
      <w:sz w:val="27"/>
      <w:szCs w:val="27"/>
    </w:rPr>
  </w:style>
  <w:style w:type="paragraph" w:customStyle="1" w:styleId="sghead">
    <w:name w:val="sghead"/>
    <w:basedOn w:val="Normal"/>
    <w:pPr>
      <w:spacing w:before="200" w:after="100"/>
      <w:jc w:val="center"/>
    </w:pPr>
    <w:rPr>
      <w:smallCaps/>
      <w:sz w:val="20"/>
      <w:szCs w:val="20"/>
    </w:rPr>
  </w:style>
  <w:style w:type="paragraph" w:customStyle="1" w:styleId="stars">
    <w:name w:val="stars"/>
    <w:basedOn w:val="Normal"/>
    <w:pPr>
      <w:spacing w:before="100" w:beforeAutospacing="1" w:after="100" w:afterAutospacing="1"/>
      <w:ind w:firstLine="480"/>
    </w:pPr>
  </w:style>
  <w:style w:type="paragraph" w:customStyle="1" w:styleId="tcap">
    <w:name w:val="tcap"/>
    <w:basedOn w:val="Normal"/>
    <w:pPr>
      <w:spacing w:before="100" w:beforeAutospacing="1" w:after="100" w:afterAutospacing="1"/>
      <w:ind w:firstLine="480"/>
      <w:jc w:val="center"/>
    </w:pPr>
  </w:style>
  <w:style w:type="paragraph" w:customStyle="1" w:styleId="bcap">
    <w:name w:val="bcap"/>
    <w:basedOn w:val="Normal"/>
    <w:pPr>
      <w:spacing w:before="100" w:beforeAutospacing="1" w:after="100" w:afterAutospacing="1"/>
      <w:ind w:firstLine="480"/>
    </w:pPr>
  </w:style>
  <w:style w:type="paragraph" w:customStyle="1" w:styleId="fp-1">
    <w:name w:val="fp-1"/>
    <w:basedOn w:val="Normal"/>
    <w:pPr>
      <w:spacing w:before="200" w:after="100"/>
      <w:ind w:left="480" w:hanging="480"/>
    </w:pPr>
  </w:style>
  <w:style w:type="paragraph" w:customStyle="1" w:styleId="fp-2">
    <w:name w:val="fp-2"/>
    <w:basedOn w:val="Normal"/>
    <w:pPr>
      <w:spacing w:before="200" w:after="100"/>
      <w:ind w:left="960" w:hanging="960"/>
    </w:pPr>
  </w:style>
  <w:style w:type="paragraph" w:customStyle="1" w:styleId="fp1-2">
    <w:name w:val="fp1-2"/>
    <w:basedOn w:val="Normal"/>
    <w:pPr>
      <w:spacing w:before="200" w:after="100"/>
      <w:ind w:left="960" w:hanging="480"/>
    </w:pPr>
  </w:style>
  <w:style w:type="paragraph" w:customStyle="1" w:styleId="fp2-2">
    <w:name w:val="fp2-2"/>
    <w:basedOn w:val="Normal"/>
    <w:pPr>
      <w:spacing w:before="200" w:after="100"/>
      <w:ind w:left="960"/>
    </w:pPr>
  </w:style>
  <w:style w:type="paragraph" w:customStyle="1" w:styleId="fp2-3">
    <w:name w:val="fp2-3"/>
    <w:basedOn w:val="Normal"/>
    <w:pPr>
      <w:spacing w:before="200" w:after="100"/>
      <w:ind w:left="1440" w:hanging="480"/>
    </w:pPr>
  </w:style>
  <w:style w:type="paragraph" w:customStyle="1" w:styleId="contents">
    <w:name w:val="contents"/>
    <w:basedOn w:val="Normal"/>
    <w:pPr>
      <w:spacing w:before="200" w:after="100"/>
    </w:pPr>
  </w:style>
  <w:style w:type="paragraph" w:customStyle="1" w:styleId="three-col-layout-middle">
    <w:name w:val="three-col-layout-middle"/>
    <w:basedOn w:val="Normal"/>
    <w:pPr>
      <w:pBdr>
        <w:left w:val="single" w:sz="6" w:space="0" w:color="CCCCCC"/>
      </w:pBdr>
      <w:spacing w:before="100" w:beforeAutospacing="1" w:after="100" w:afterAutospacing="1"/>
      <w:ind w:firstLine="480"/>
    </w:pPr>
  </w:style>
  <w:style w:type="paragraph" w:customStyle="1" w:styleId="three-col-layout-right">
    <w:name w:val="three-col-layout-right"/>
    <w:basedOn w:val="Normal"/>
    <w:pPr>
      <w:pBdr>
        <w:left w:val="single" w:sz="6" w:space="0" w:color="CCCCCC"/>
      </w:pBdr>
      <w:spacing w:before="100" w:beforeAutospacing="1" w:after="100" w:afterAutospacing="1"/>
      <w:ind w:firstLine="480"/>
    </w:pPr>
  </w:style>
  <w:style w:type="paragraph" w:customStyle="1" w:styleId="extract">
    <w:name w:val="extract"/>
    <w:basedOn w:val="Normal"/>
    <w:pPr>
      <w:spacing w:before="100" w:beforeAutospacing="1" w:after="100" w:afterAutospacing="1"/>
      <w:ind w:firstLine="480"/>
    </w:pPr>
    <w:rPr>
      <w:sz w:val="18"/>
      <w:szCs w:val="18"/>
    </w:rPr>
  </w:style>
  <w:style w:type="paragraph" w:customStyle="1" w:styleId="ftnt">
    <w:name w:val="ftnt"/>
    <w:basedOn w:val="Normal"/>
    <w:pPr>
      <w:spacing w:before="100" w:beforeAutospacing="1" w:after="100" w:afterAutospacing="1"/>
      <w:ind w:firstLine="480"/>
    </w:pPr>
    <w:rPr>
      <w:sz w:val="18"/>
      <w:szCs w:val="18"/>
    </w:rPr>
  </w:style>
  <w:style w:type="paragraph" w:customStyle="1" w:styleId="tpl">
    <w:name w:val="tpl"/>
    <w:basedOn w:val="Normal"/>
    <w:pPr>
      <w:spacing w:before="100" w:beforeAutospacing="1" w:after="100" w:afterAutospacing="1"/>
      <w:ind w:firstLine="480"/>
    </w:pPr>
    <w:rPr>
      <w:sz w:val="20"/>
      <w:szCs w:val="20"/>
    </w:rPr>
  </w:style>
  <w:style w:type="paragraph" w:customStyle="1" w:styleId="sechd">
    <w:name w:val="sechd"/>
    <w:basedOn w:val="Normal"/>
    <w:pPr>
      <w:spacing w:after="100" w:afterAutospacing="1"/>
    </w:pPr>
  </w:style>
  <w:style w:type="paragraph" w:customStyle="1" w:styleId="centry">
    <w:name w:val="c_entry"/>
    <w:basedOn w:val="Normal"/>
    <w:pPr>
      <w:spacing w:after="100" w:afterAutospacing="1"/>
    </w:pPr>
  </w:style>
  <w:style w:type="paragraph" w:customStyle="1" w:styleId="gpotblhang">
    <w:name w:val="gpotbl_hang"/>
    <w:basedOn w:val="Normal"/>
    <w:pPr>
      <w:spacing w:before="100" w:beforeAutospacing="1" w:after="100" w:afterAutospacing="1"/>
      <w:ind w:hanging="480"/>
    </w:pPr>
  </w:style>
  <w:style w:type="paragraph" w:customStyle="1" w:styleId="gpotbltable">
    <w:name w:val="gpotbl_table"/>
    <w:basedOn w:val="Normal"/>
    <w:pPr>
      <w:spacing w:before="100" w:beforeAutospacing="1" w:after="100" w:afterAutospacing="1"/>
      <w:ind w:firstLine="480"/>
    </w:pPr>
  </w:style>
  <w:style w:type="paragraph" w:customStyle="1" w:styleId="gpotbldiv">
    <w:name w:val="gpotbl_div"/>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style>
  <w:style w:type="paragraph" w:customStyle="1" w:styleId="gpotbltitle">
    <w:name w:val="gpotbl_title"/>
    <w:basedOn w:val="Normal"/>
    <w:pPr>
      <w:spacing w:before="100" w:beforeAutospacing="1" w:after="100" w:afterAutospacing="1"/>
      <w:ind w:firstLine="480"/>
      <w:jc w:val="center"/>
    </w:pPr>
    <w:rPr>
      <w:b/>
      <w:bCs/>
      <w:smallCaps/>
    </w:rPr>
  </w:style>
  <w:style w:type="paragraph" w:customStyle="1" w:styleId="gpotbldescription">
    <w:name w:val="gpotbl_description"/>
    <w:basedOn w:val="Normal"/>
    <w:pPr>
      <w:spacing w:before="100" w:beforeAutospacing="1" w:after="100" w:afterAutospacing="1"/>
      <w:ind w:firstLine="480"/>
      <w:jc w:val="center"/>
    </w:pPr>
  </w:style>
  <w:style w:type="paragraph" w:customStyle="1" w:styleId="gpotblcell">
    <w:name w:val="gpotbl_ce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style>
  <w:style w:type="paragraph" w:customStyle="1" w:styleId="gpotblcolhed">
    <w:name w:val="gpotbl_colhed"/>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style>
  <w:style w:type="character" w:customStyle="1" w:styleId="fpdash">
    <w:name w:val="fpdash"/>
    <w:basedOn w:val="DefaultParagraphFont"/>
    <w:rPr>
      <w:shd w:val="clear" w:color="auto" w:fill="FFFFFF"/>
    </w:rPr>
  </w:style>
  <w:style w:type="character" w:customStyle="1" w:styleId="pdash">
    <w:name w:val="pdash"/>
    <w:basedOn w:val="DefaultParagraphFont"/>
    <w:rPr>
      <w:shd w:val="clear" w:color="auto" w:fill="FFFFFF"/>
    </w:rPr>
  </w:style>
  <w:style w:type="character" w:customStyle="1" w:styleId="top-menu-pipe1">
    <w:name w:val="top-menu-pipe1"/>
    <w:basedOn w:val="DefaultParagraphFont"/>
  </w:style>
  <w:style w:type="paragraph" w:styleId="BalloonText">
    <w:name w:val="Balloon Text"/>
    <w:basedOn w:val="Normal"/>
    <w:link w:val="BalloonTextChar"/>
    <w:uiPriority w:val="99"/>
    <w:semiHidden/>
    <w:unhideWhenUsed/>
    <w:rsid w:val="00694D10"/>
    <w:rPr>
      <w:rFonts w:ascii="Tahoma" w:hAnsi="Tahoma" w:cs="Tahoma"/>
      <w:sz w:val="16"/>
      <w:szCs w:val="16"/>
    </w:rPr>
  </w:style>
  <w:style w:type="character" w:customStyle="1" w:styleId="BalloonTextChar">
    <w:name w:val="Balloon Text Char"/>
    <w:basedOn w:val="DefaultParagraphFont"/>
    <w:link w:val="BalloonText"/>
    <w:uiPriority w:val="99"/>
    <w:semiHidden/>
    <w:rsid w:val="00694D10"/>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2955431">
      <w:bodyDiv w:val="1"/>
      <w:marLeft w:val="0"/>
      <w:marRight w:val="0"/>
      <w:marTop w:val="30"/>
      <w:marBottom w:val="750"/>
      <w:divBdr>
        <w:top w:val="none" w:sz="0" w:space="0" w:color="auto"/>
        <w:left w:val="none" w:sz="0" w:space="0" w:color="auto"/>
        <w:bottom w:val="none" w:sz="0" w:space="0" w:color="auto"/>
        <w:right w:val="none" w:sz="0" w:space="0" w:color="auto"/>
      </w:divBdr>
      <w:divsChild>
        <w:div w:id="311909253">
          <w:marLeft w:val="0"/>
          <w:marRight w:val="0"/>
          <w:marTop w:val="0"/>
          <w:marBottom w:val="0"/>
          <w:divBdr>
            <w:top w:val="none" w:sz="0" w:space="0" w:color="auto"/>
            <w:left w:val="none" w:sz="0" w:space="0" w:color="auto"/>
            <w:bottom w:val="none" w:sz="0" w:space="0" w:color="auto"/>
            <w:right w:val="none" w:sz="0" w:space="0" w:color="auto"/>
          </w:divBdr>
          <w:divsChild>
            <w:div w:id="2099401612">
              <w:marLeft w:val="0"/>
              <w:marRight w:val="0"/>
              <w:marTop w:val="0"/>
              <w:marBottom w:val="0"/>
              <w:divBdr>
                <w:top w:val="none" w:sz="0" w:space="0" w:color="auto"/>
                <w:left w:val="none" w:sz="0" w:space="0" w:color="auto"/>
                <w:bottom w:val="none" w:sz="0" w:space="0" w:color="auto"/>
                <w:right w:val="none" w:sz="0" w:space="0" w:color="auto"/>
              </w:divBdr>
            </w:div>
            <w:div w:id="1275283713">
              <w:marLeft w:val="0"/>
              <w:marRight w:val="0"/>
              <w:marTop w:val="0"/>
              <w:marBottom w:val="0"/>
              <w:divBdr>
                <w:top w:val="none" w:sz="0" w:space="0" w:color="auto"/>
                <w:left w:val="none" w:sz="0" w:space="0" w:color="auto"/>
                <w:bottom w:val="none" w:sz="0" w:space="0" w:color="auto"/>
                <w:right w:val="none" w:sz="0" w:space="0" w:color="auto"/>
              </w:divBdr>
            </w:div>
            <w:div w:id="1498960327">
              <w:marLeft w:val="0"/>
              <w:marRight w:val="0"/>
              <w:marTop w:val="0"/>
              <w:marBottom w:val="0"/>
              <w:divBdr>
                <w:top w:val="none" w:sz="0" w:space="0" w:color="auto"/>
                <w:left w:val="none" w:sz="0" w:space="0" w:color="auto"/>
                <w:bottom w:val="none" w:sz="0" w:space="0" w:color="auto"/>
                <w:right w:val="none" w:sz="0" w:space="0" w:color="auto"/>
              </w:divBdr>
            </w:div>
            <w:div w:id="1484082975">
              <w:marLeft w:val="0"/>
              <w:marRight w:val="0"/>
              <w:marTop w:val="0"/>
              <w:marBottom w:val="0"/>
              <w:divBdr>
                <w:top w:val="none" w:sz="0" w:space="0" w:color="auto"/>
                <w:left w:val="none" w:sz="0" w:space="0" w:color="auto"/>
                <w:bottom w:val="none" w:sz="0" w:space="0" w:color="auto"/>
                <w:right w:val="none" w:sz="0" w:space="0" w:color="auto"/>
              </w:divBdr>
            </w:div>
            <w:div w:id="75825456">
              <w:marLeft w:val="0"/>
              <w:marRight w:val="0"/>
              <w:marTop w:val="0"/>
              <w:marBottom w:val="0"/>
              <w:divBdr>
                <w:top w:val="none" w:sz="0" w:space="0" w:color="auto"/>
                <w:left w:val="none" w:sz="0" w:space="0" w:color="auto"/>
                <w:bottom w:val="none" w:sz="0" w:space="0" w:color="auto"/>
                <w:right w:val="none" w:sz="0" w:space="0" w:color="auto"/>
              </w:divBdr>
            </w:div>
            <w:div w:id="491145312">
              <w:marLeft w:val="0"/>
              <w:marRight w:val="0"/>
              <w:marTop w:val="0"/>
              <w:marBottom w:val="0"/>
              <w:divBdr>
                <w:top w:val="none" w:sz="0" w:space="0" w:color="auto"/>
                <w:left w:val="none" w:sz="0" w:space="0" w:color="auto"/>
                <w:bottom w:val="none" w:sz="0" w:space="0" w:color="auto"/>
                <w:right w:val="none" w:sz="0" w:space="0" w:color="auto"/>
              </w:divBdr>
            </w:div>
            <w:div w:id="668674375">
              <w:marLeft w:val="0"/>
              <w:marRight w:val="0"/>
              <w:marTop w:val="0"/>
              <w:marBottom w:val="0"/>
              <w:divBdr>
                <w:top w:val="none" w:sz="0" w:space="0" w:color="auto"/>
                <w:left w:val="none" w:sz="0" w:space="0" w:color="auto"/>
                <w:bottom w:val="none" w:sz="0" w:space="0" w:color="auto"/>
                <w:right w:val="none" w:sz="0" w:space="0" w:color="auto"/>
              </w:divBdr>
            </w:div>
            <w:div w:id="755126291">
              <w:marLeft w:val="0"/>
              <w:marRight w:val="0"/>
              <w:marTop w:val="0"/>
              <w:marBottom w:val="0"/>
              <w:divBdr>
                <w:top w:val="none" w:sz="0" w:space="0" w:color="auto"/>
                <w:left w:val="none" w:sz="0" w:space="0" w:color="auto"/>
                <w:bottom w:val="none" w:sz="0" w:space="0" w:color="auto"/>
                <w:right w:val="none" w:sz="0" w:space="0" w:color="auto"/>
              </w:divBdr>
            </w:div>
            <w:div w:id="2046176828">
              <w:marLeft w:val="0"/>
              <w:marRight w:val="0"/>
              <w:marTop w:val="0"/>
              <w:marBottom w:val="0"/>
              <w:divBdr>
                <w:top w:val="none" w:sz="0" w:space="0" w:color="auto"/>
                <w:left w:val="none" w:sz="0" w:space="0" w:color="auto"/>
                <w:bottom w:val="none" w:sz="0" w:space="0" w:color="auto"/>
                <w:right w:val="none" w:sz="0" w:space="0" w:color="auto"/>
              </w:divBdr>
            </w:div>
            <w:div w:id="1028532138">
              <w:marLeft w:val="0"/>
              <w:marRight w:val="0"/>
              <w:marTop w:val="0"/>
              <w:marBottom w:val="0"/>
              <w:divBdr>
                <w:top w:val="none" w:sz="0" w:space="0" w:color="auto"/>
                <w:left w:val="none" w:sz="0" w:space="0" w:color="auto"/>
                <w:bottom w:val="none" w:sz="0" w:space="0" w:color="auto"/>
                <w:right w:val="none" w:sz="0" w:space="0" w:color="auto"/>
              </w:divBdr>
            </w:div>
            <w:div w:id="1231888979">
              <w:marLeft w:val="0"/>
              <w:marRight w:val="0"/>
              <w:marTop w:val="0"/>
              <w:marBottom w:val="0"/>
              <w:divBdr>
                <w:top w:val="none" w:sz="0" w:space="0" w:color="auto"/>
                <w:left w:val="none" w:sz="0" w:space="0" w:color="auto"/>
                <w:bottom w:val="none" w:sz="0" w:space="0" w:color="auto"/>
                <w:right w:val="none" w:sz="0" w:space="0" w:color="auto"/>
              </w:divBdr>
            </w:div>
            <w:div w:id="1345476656">
              <w:marLeft w:val="0"/>
              <w:marRight w:val="0"/>
              <w:marTop w:val="0"/>
              <w:marBottom w:val="0"/>
              <w:divBdr>
                <w:top w:val="none" w:sz="0" w:space="0" w:color="auto"/>
                <w:left w:val="none" w:sz="0" w:space="0" w:color="auto"/>
                <w:bottom w:val="none" w:sz="0" w:space="0" w:color="auto"/>
                <w:right w:val="none" w:sz="0" w:space="0" w:color="auto"/>
              </w:divBdr>
            </w:div>
            <w:div w:id="1086152722">
              <w:marLeft w:val="0"/>
              <w:marRight w:val="0"/>
              <w:marTop w:val="0"/>
              <w:marBottom w:val="0"/>
              <w:divBdr>
                <w:top w:val="none" w:sz="0" w:space="0" w:color="auto"/>
                <w:left w:val="none" w:sz="0" w:space="0" w:color="auto"/>
                <w:bottom w:val="none" w:sz="0" w:space="0" w:color="auto"/>
                <w:right w:val="none" w:sz="0" w:space="0" w:color="auto"/>
              </w:divBdr>
            </w:div>
            <w:div w:id="798694589">
              <w:marLeft w:val="0"/>
              <w:marRight w:val="0"/>
              <w:marTop w:val="0"/>
              <w:marBottom w:val="0"/>
              <w:divBdr>
                <w:top w:val="none" w:sz="0" w:space="0" w:color="auto"/>
                <w:left w:val="none" w:sz="0" w:space="0" w:color="auto"/>
                <w:bottom w:val="none" w:sz="0" w:space="0" w:color="auto"/>
                <w:right w:val="none" w:sz="0" w:space="0" w:color="auto"/>
              </w:divBdr>
            </w:div>
          </w:divsChild>
        </w:div>
        <w:div w:id="1879509935">
          <w:marLeft w:val="0"/>
          <w:marRight w:val="0"/>
          <w:marTop w:val="30"/>
          <w:marBottom w:val="75"/>
          <w:divBdr>
            <w:top w:val="single" w:sz="6" w:space="0" w:color="FFFFFF"/>
            <w:left w:val="single" w:sz="6" w:space="0" w:color="FFFFFF"/>
            <w:bottom w:val="single" w:sz="6" w:space="0" w:color="FFFFFF"/>
            <w:right w:val="single" w:sz="6" w:space="0" w:color="FFFFFF"/>
          </w:divBdr>
          <w:divsChild>
            <w:div w:id="225652768">
              <w:marLeft w:val="0"/>
              <w:marRight w:val="0"/>
              <w:marTop w:val="0"/>
              <w:marBottom w:val="0"/>
              <w:divBdr>
                <w:top w:val="single" w:sz="6" w:space="0" w:color="FFFFFF"/>
                <w:left w:val="single" w:sz="6" w:space="8" w:color="FFFFFF"/>
                <w:bottom w:val="single" w:sz="6" w:space="0" w:color="FFFFFF"/>
                <w:right w:val="single" w:sz="6" w:space="0" w:color="FFFFFF"/>
              </w:divBdr>
            </w:div>
          </w:divsChild>
        </w:div>
      </w:divsChild>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_top"/><Relationship Id="rId13" Type="http://schemas.openxmlformats.org/officeDocument/2006/relationships/hyperlink" Target="#_top"/><Relationship Id="rId18" Type="http://schemas.openxmlformats.org/officeDocument/2006/relationships/image" Target="http://www.ecfr.gov/graphics/er13jn07.036.gif" TargetMode="External"/><Relationship Id="rId26" Type="http://schemas.openxmlformats.org/officeDocument/2006/relationships/hyperlink" Target="#_top"/><Relationship Id="rId3" Type="http://schemas.openxmlformats.org/officeDocument/2006/relationships/webSettings" Target="webSettings.xml"/><Relationship Id="rId21" Type="http://schemas.openxmlformats.org/officeDocument/2006/relationships/hyperlink" Target="#_top"/><Relationship Id="rId7" Type="http://schemas.openxmlformats.org/officeDocument/2006/relationships/image" Target="http://www.ecfr.gov/images/ret-arrow-generic-grey.gif" TargetMode="External"/><Relationship Id="rId12" Type="http://schemas.openxmlformats.org/officeDocument/2006/relationships/hyperlink" Target="#_top"/><Relationship Id="rId17" Type="http://schemas.openxmlformats.org/officeDocument/2006/relationships/image" Target="http://www.ecfr.gov/graphics/er13jn07.035.gif" TargetMode="External"/><Relationship Id="rId25" Type="http://schemas.openxmlformats.org/officeDocument/2006/relationships/hyperlink" Target="#_top"/><Relationship Id="rId2" Type="http://schemas.openxmlformats.org/officeDocument/2006/relationships/settings" Target="settings.xml"/><Relationship Id="rId16" Type="http://schemas.openxmlformats.org/officeDocument/2006/relationships/image" Target="http://www.ecfr.gov/graphics/er13jn07.034.gif" TargetMode="External"/><Relationship Id="rId20" Type="http://schemas.openxmlformats.org/officeDocument/2006/relationships/hyperlink" Target="#_top"/><Relationship Id="rId1" Type="http://schemas.openxmlformats.org/officeDocument/2006/relationships/styles" Target="styles.xml"/><Relationship Id="rId6" Type="http://schemas.openxmlformats.org/officeDocument/2006/relationships/hyperlink" Target="#_top"/><Relationship Id="rId11" Type="http://schemas.openxmlformats.org/officeDocument/2006/relationships/hyperlink" Target="#_top"/><Relationship Id="rId24" Type="http://schemas.openxmlformats.org/officeDocument/2006/relationships/hyperlink" Target="#_top"/><Relationship Id="rId5" Type="http://schemas.openxmlformats.org/officeDocument/2006/relationships/hyperlink" Target="#_top"/><Relationship Id="rId15" Type="http://schemas.openxmlformats.org/officeDocument/2006/relationships/image" Target="http://www.ecfr.gov/graphics/er13jn07.033.gif" TargetMode="External"/><Relationship Id="rId23" Type="http://schemas.openxmlformats.org/officeDocument/2006/relationships/hyperlink" Target="#_top"/><Relationship Id="rId28" Type="http://schemas.openxmlformats.org/officeDocument/2006/relationships/theme" Target="theme/theme1.xml"/><Relationship Id="rId10" Type="http://schemas.openxmlformats.org/officeDocument/2006/relationships/image" Target="http://www.ecfr.gov/graphics/er28ja09.005.gif" TargetMode="External"/><Relationship Id="rId19" Type="http://schemas.openxmlformats.org/officeDocument/2006/relationships/hyperlink" Target="#_top"/><Relationship Id="rId4" Type="http://schemas.openxmlformats.org/officeDocument/2006/relationships/hyperlink" Target="http://www.ecfr.gov/cgi-bin/retrieveECFR?gp=&amp;SID=e5605b44612838afb50aa829fec7ac2e&amp;n=40y7.0.1.1.1&amp;r=PART&amp;ty=HTML" TargetMode="External"/><Relationship Id="rId9" Type="http://schemas.openxmlformats.org/officeDocument/2006/relationships/hyperlink" Target="#_top"/><Relationship Id="rId14" Type="http://schemas.openxmlformats.org/officeDocument/2006/relationships/hyperlink" Target="#_top"/><Relationship Id="rId22" Type="http://schemas.openxmlformats.org/officeDocument/2006/relationships/hyperlink" Target="#_top"/><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11285</Words>
  <Characters>64328</Characters>
  <Application>Microsoft Office Word</Application>
  <DocSecurity>0</DocSecurity>
  <Lines>536</Lines>
  <Paragraphs>150</Paragraphs>
  <ScaleCrop>false</ScaleCrop>
  <Company/>
  <LinksUpToDate>false</LinksUpToDate>
  <CharactersWithSpaces>75463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eCFR — Code of Federal Regulations</dc:title>
  <dc:creator>Jeff Sims</dc:creator>
  <cp:lastModifiedBy>Jeff Sims</cp:lastModifiedBy>
  <cp:revision>4</cp:revision>
  <dcterms:created xsi:type="dcterms:W3CDTF">2013-01-16T14:25:00Z</dcterms:created>
  <dcterms:modified xsi:type="dcterms:W3CDTF">2013-01-16T14:28:00Z</dcterms:modified>
</cp:coreProperties>
</file>